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9F" w:rsidRDefault="009C5A9F" w:rsidP="009C5A9F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5A9F" w:rsidRPr="009C5A9F" w:rsidRDefault="009C5A9F" w:rsidP="009C5A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9F">
        <w:rPr>
          <w:rFonts w:ascii="Times New Roman" w:hAnsi="Times New Roman"/>
          <w:b/>
          <w:sz w:val="24"/>
          <w:szCs w:val="24"/>
        </w:rPr>
        <w:t xml:space="preserve">о результатах проведенного </w:t>
      </w:r>
      <w:r w:rsidRPr="009C5A9F">
        <w:rPr>
          <w:rFonts w:ascii="Times New Roman" w:hAnsi="Times New Roman" w:cs="Times New Roman"/>
          <w:b/>
          <w:sz w:val="24"/>
          <w:szCs w:val="24"/>
        </w:rPr>
        <w:t>в муниципальном унитарном жилищно-коммунальном предприятии «</w:t>
      </w:r>
      <w:proofErr w:type="spellStart"/>
      <w:r w:rsidRPr="009C5A9F">
        <w:rPr>
          <w:rFonts w:ascii="Times New Roman" w:hAnsi="Times New Roman" w:cs="Times New Roman"/>
          <w:b/>
          <w:sz w:val="24"/>
          <w:szCs w:val="24"/>
        </w:rPr>
        <w:t>Людиновские</w:t>
      </w:r>
      <w:proofErr w:type="spellEnd"/>
      <w:r w:rsidRPr="009C5A9F">
        <w:rPr>
          <w:rFonts w:ascii="Times New Roman" w:hAnsi="Times New Roman" w:cs="Times New Roman"/>
          <w:b/>
          <w:sz w:val="24"/>
          <w:szCs w:val="24"/>
        </w:rPr>
        <w:t xml:space="preserve"> тепловые сети» контрольного мероприятия на тему: «Анализ хозяйственно-финансовой деятельности за 2020-2022гг. Проверка использования бюджетных средств и муниципального имущества, находящегося в хозяйственном ведении за 2020-2022 гг.»</w:t>
      </w:r>
    </w:p>
    <w:p w:rsidR="00DF3027" w:rsidRDefault="009C5A9F" w:rsidP="009C5A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F3027">
        <w:rPr>
          <w:rFonts w:ascii="Times New Roman" w:hAnsi="Times New Roman" w:cs="Times New Roman"/>
          <w:sz w:val="24"/>
          <w:szCs w:val="24"/>
        </w:rPr>
        <w:t>В результате проведенных контрольных мероприятий установлено.</w:t>
      </w:r>
    </w:p>
    <w:p w:rsidR="00DF3027" w:rsidRDefault="00DF3027" w:rsidP="00DF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1. </w:t>
      </w:r>
      <w:r>
        <w:rPr>
          <w:rFonts w:ascii="Times New Roman" w:hAnsi="Times New Roman" w:cs="Times New Roman"/>
          <w:sz w:val="24"/>
          <w:szCs w:val="24"/>
        </w:rPr>
        <w:t>В нарушение пункта 3 , 9,12 и 16 части 1 статьи 20 Федерального закона № 161-ФЗ  «О государственных и муниципальных унитарных предприятиях» в отношении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тепловые сети»  Собственником имущества:</w:t>
      </w:r>
    </w:p>
    <w:p w:rsidR="00DF3027" w:rsidRDefault="00DF3027" w:rsidP="00DF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не определялся порядок составления, утверждения и установления показателей планов финансово-хозяйственной деятельности Предприятия;</w:t>
      </w:r>
    </w:p>
    <w:p w:rsidR="00DF3027" w:rsidRDefault="00DF3027" w:rsidP="00DF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не утверждались бухгалтерская (финансовая) отчётность и отчёты унитарного предприятия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3027" w:rsidRDefault="00DF3027" w:rsidP="00DF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не утверждались показатели экономической эффективности деятельности предприятия.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2.В соответствии со статьёй 17 ФЗ  № 161-ФЗ собственник имущества Предприятия имел право на получение части прибыли от использования имущества, находящегося в хозяйственном ведении Предприятия, размер и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должен был определяться на основании соглашения между Предприятием и Собственником.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Порядок перечисления части прибыли в доход бюджета городского поселения Собственником не определялся и соответственно, прибыль в доход бюджета городского поселения Предприятием  не перечислялась.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  В проверяемом периоде Предприятие работало не  рентабельно.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общем объёме выручки от реализации за 2020-2022гг. в сумме </w:t>
      </w:r>
      <w:r>
        <w:rPr>
          <w:rFonts w:ascii="Times New Roman" w:hAnsi="Times New Roman" w:cs="Times New Roman"/>
          <w:i/>
          <w:sz w:val="24"/>
          <w:szCs w:val="24"/>
        </w:rPr>
        <w:t>631 538,0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затраты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760 132,0 тыс.рублей.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Финансовый результат от основного  вида деятельности Предприятия в течение всего проверяемого периода имеет отрицательные показатели (убыток). 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2020 год убыток составил в сумме </w:t>
      </w:r>
      <w:r>
        <w:rPr>
          <w:rFonts w:ascii="Times New Roman" w:hAnsi="Times New Roman" w:cs="Times New Roman"/>
          <w:i/>
          <w:sz w:val="24"/>
          <w:szCs w:val="24"/>
        </w:rPr>
        <w:t>48 519,0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за 2021 год - </w:t>
      </w:r>
      <w:r>
        <w:rPr>
          <w:rFonts w:ascii="Times New Roman" w:hAnsi="Times New Roman" w:cs="Times New Roman"/>
          <w:i/>
          <w:sz w:val="24"/>
          <w:szCs w:val="24"/>
        </w:rPr>
        <w:t>39 330,0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за 2022 год - </w:t>
      </w:r>
      <w:r>
        <w:rPr>
          <w:rFonts w:ascii="Times New Roman" w:hAnsi="Times New Roman" w:cs="Times New Roman"/>
          <w:i/>
          <w:sz w:val="24"/>
          <w:szCs w:val="24"/>
        </w:rPr>
        <w:t>40 745,0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Параметры отрицательной рентабельности отражают неэффективность деятельности Предприятия за 2020-2022гг.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4.Непокрытый убыток Предприятия  в проверяемом периоде составил: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состоянию на 01.01.2020 года в сумме </w:t>
      </w:r>
      <w:r>
        <w:rPr>
          <w:rFonts w:ascii="Times New Roman" w:hAnsi="Times New Roman" w:cs="Times New Roman"/>
          <w:i/>
          <w:sz w:val="24"/>
          <w:szCs w:val="24"/>
        </w:rPr>
        <w:t>56 266,0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состоянию на 01.01.2021 года в сумме </w:t>
      </w:r>
      <w:r>
        <w:rPr>
          <w:rFonts w:ascii="Times New Roman" w:hAnsi="Times New Roman" w:cs="Times New Roman"/>
          <w:i/>
          <w:sz w:val="24"/>
          <w:szCs w:val="24"/>
        </w:rPr>
        <w:t>53 681,0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состоянию на 01.01.2022 года в сумме </w:t>
      </w:r>
      <w:r>
        <w:rPr>
          <w:rFonts w:ascii="Times New Roman" w:hAnsi="Times New Roman" w:cs="Times New Roman"/>
          <w:i/>
          <w:sz w:val="24"/>
          <w:szCs w:val="24"/>
        </w:rPr>
        <w:t>48 868,0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состоянию на 01.01.2023 года в сумме </w:t>
      </w:r>
      <w:r>
        <w:rPr>
          <w:rFonts w:ascii="Times New Roman" w:hAnsi="Times New Roman" w:cs="Times New Roman"/>
          <w:i/>
          <w:sz w:val="24"/>
          <w:szCs w:val="24"/>
        </w:rPr>
        <w:t>44 171,0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Размер полученных убытков в проверяемом периоде увеличился за счет неэффективных расходов в сумме </w:t>
      </w:r>
      <w:r>
        <w:rPr>
          <w:rFonts w:ascii="Times New Roman" w:hAnsi="Times New Roman" w:cs="Times New Roman"/>
          <w:i/>
          <w:sz w:val="24"/>
          <w:szCs w:val="24"/>
        </w:rPr>
        <w:t>9 520,0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 : за 2020 год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 178,0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2021 год - в сумме </w:t>
      </w:r>
      <w:r>
        <w:rPr>
          <w:rFonts w:ascii="Times New Roman" w:hAnsi="Times New Roman" w:cs="Times New Roman"/>
          <w:i/>
          <w:sz w:val="24"/>
          <w:szCs w:val="24"/>
        </w:rPr>
        <w:t>6700,0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за 2022 год в сумме </w:t>
      </w:r>
      <w:r>
        <w:rPr>
          <w:rFonts w:ascii="Times New Roman" w:hAnsi="Times New Roman" w:cs="Times New Roman"/>
          <w:i/>
          <w:sz w:val="24"/>
          <w:szCs w:val="24"/>
        </w:rPr>
        <w:t>2642,0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>в том числе за счёт: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списания просроченной дебиторской задолженности покупателей за оказанные услуги в связи с истечением срока исковой давности - в сумме </w:t>
      </w:r>
      <w:r>
        <w:rPr>
          <w:rFonts w:ascii="Times New Roman" w:hAnsi="Times New Roman" w:cs="Times New Roman"/>
          <w:i/>
          <w:sz w:val="24"/>
          <w:szCs w:val="24"/>
        </w:rPr>
        <w:t>2 915,0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 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 xml:space="preserve">уплаченных штрафных санкций по решениям суда за нарушения  исполнения муниципальных контрактов в сумме </w:t>
      </w:r>
      <w:r>
        <w:rPr>
          <w:rFonts w:ascii="Times New Roman" w:hAnsi="Times New Roman" w:cs="Times New Roman"/>
          <w:i/>
          <w:sz w:val="24"/>
          <w:szCs w:val="24"/>
        </w:rPr>
        <w:t>6 300,0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ублей 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3027" w:rsidRDefault="00DF3027" w:rsidP="00DF3027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>уплаченных административных штрафах за нарушения законодательства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сумме </w:t>
      </w:r>
      <w:r>
        <w:rPr>
          <w:rFonts w:ascii="Times New Roman" w:hAnsi="Times New Roman" w:cs="Times New Roman"/>
          <w:i/>
          <w:sz w:val="24"/>
          <w:szCs w:val="24"/>
        </w:rPr>
        <w:t>305,0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Из общего объёма полученных прочих доходов, доходы, полученные из бюджета муниципального района в виде субсидии и межбюджетных трансфертов составили в сумме  </w:t>
      </w:r>
      <w:r>
        <w:rPr>
          <w:rFonts w:ascii="Times New Roman" w:hAnsi="Times New Roman" w:cs="Times New Roman"/>
          <w:i/>
          <w:sz w:val="24"/>
          <w:szCs w:val="24"/>
        </w:rPr>
        <w:t>114 219,4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или 59,3 %.</w:t>
      </w:r>
    </w:p>
    <w:p w:rsidR="009C5A9F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Субсидия на возмещение затрат, связанных с приобретением топливно-энергетических ресурсов предприятиям жилищно-коммунального хозяйства, оказывающим услуги по </w:t>
      </w:r>
      <w:r>
        <w:rPr>
          <w:rFonts w:ascii="Times New Roman" w:hAnsi="Times New Roman" w:cs="Times New Roman"/>
          <w:sz w:val="24"/>
          <w:szCs w:val="24"/>
        </w:rPr>
        <w:lastRenderedPageBreak/>
        <w:t>теплоснабжению и горячему водоснабжению в проверяемом периоде получена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теплосети» на безвозмездной и безвозвратной основе  за счёт средств бюджета городского поселения в рамках реализации мероприятий муниципальной программы «Повышение эффективности использования топливно-энергетических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 в объёме </w:t>
      </w:r>
      <w:r>
        <w:rPr>
          <w:rFonts w:ascii="Times New Roman" w:hAnsi="Times New Roman" w:cs="Times New Roman"/>
          <w:i/>
          <w:sz w:val="24"/>
          <w:szCs w:val="24"/>
        </w:rPr>
        <w:t>113 245,4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 w:rsidR="009C5A9F">
        <w:rPr>
          <w:rFonts w:ascii="Times New Roman" w:hAnsi="Times New Roman" w:cs="Times New Roman"/>
          <w:i/>
          <w:sz w:val="24"/>
          <w:szCs w:val="24"/>
        </w:rPr>
        <w:t>.</w:t>
      </w:r>
    </w:p>
    <w:p w:rsidR="009C5A9F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6.Основную часть расходов предприятия за 2020-2022гг. составляют затраты на приобретение топливно-энергетических ресурсов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ТЭРов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 </w:t>
      </w:r>
      <w:r>
        <w:rPr>
          <w:rFonts w:ascii="Times New Roman" w:hAnsi="Times New Roman" w:cs="Times New Roman"/>
          <w:i/>
          <w:sz w:val="24"/>
          <w:szCs w:val="24"/>
        </w:rPr>
        <w:t>551 038,0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или 72,5 % всех произведенных затрат</w:t>
      </w:r>
      <w:r w:rsidR="009C5A9F">
        <w:rPr>
          <w:rFonts w:ascii="Times New Roman" w:hAnsi="Times New Roman" w:cs="Times New Roman"/>
          <w:sz w:val="24"/>
          <w:szCs w:val="24"/>
        </w:rPr>
        <w:t>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Затраты на приобретение топливно-энергетических ресурсов ежегодно увеличиваются: в 2021 году по отношению к 2020 году - на </w:t>
      </w:r>
      <w:r>
        <w:rPr>
          <w:rFonts w:ascii="Times New Roman" w:hAnsi="Times New Roman" w:cs="Times New Roman"/>
          <w:i/>
          <w:sz w:val="24"/>
          <w:szCs w:val="24"/>
        </w:rPr>
        <w:t>22 415,0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13,3%; в 2022 году по отношению к 2021 году - на </w:t>
      </w:r>
      <w:r>
        <w:rPr>
          <w:rFonts w:ascii="Times New Roman" w:hAnsi="Times New Roman" w:cs="Times New Roman"/>
          <w:i/>
          <w:sz w:val="24"/>
          <w:szCs w:val="24"/>
        </w:rPr>
        <w:t>2 070,0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1,1%, а по отношению к 2020 году- на </w:t>
      </w:r>
      <w:r>
        <w:rPr>
          <w:rFonts w:ascii="Times New Roman" w:hAnsi="Times New Roman" w:cs="Times New Roman"/>
          <w:i/>
          <w:sz w:val="24"/>
          <w:szCs w:val="24"/>
        </w:rPr>
        <w:t>24 485,0 тыс.рублей</w:t>
      </w:r>
      <w:r>
        <w:rPr>
          <w:rFonts w:ascii="Times New Roman" w:hAnsi="Times New Roman" w:cs="Times New Roman"/>
          <w:sz w:val="24"/>
          <w:szCs w:val="24"/>
        </w:rPr>
        <w:t xml:space="preserve"> , или на 14,6 %.</w:t>
      </w:r>
    </w:p>
    <w:p w:rsidR="009C5A9F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на оплату труда с начислениями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142 844,0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, или 18,8 % всех затрат предприятия за 2020-2022гг</w:t>
      </w:r>
      <w:r w:rsidR="009C5A9F">
        <w:rPr>
          <w:rFonts w:ascii="Times New Roman" w:hAnsi="Times New Roman" w:cs="Times New Roman"/>
          <w:sz w:val="24"/>
          <w:szCs w:val="24"/>
        </w:rPr>
        <w:t>.</w:t>
      </w:r>
    </w:p>
    <w:p w:rsidR="00DF3027" w:rsidRDefault="00DF3027" w:rsidP="00DF30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нарушение п.3.5.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Положения, предусматривающего пересмотр должностного оклада руководителя не чаще одного раза в год при наличии существенных изменений финансово-хозяйственной деятельности предприятия, установленных в результате проведённого сравнительного анализа ФХД предприятия не менее чем за год, размер должностного оклада директора в 2020 году Главой администрации муниципального района (Работодателем)  пересматривался дважды- с 01.03.2020 года и с 01.11.2020года.</w:t>
      </w:r>
      <w:proofErr w:type="gramEnd"/>
    </w:p>
    <w:p w:rsidR="00DF3027" w:rsidRDefault="00DF3027" w:rsidP="00DF30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учётом начисленных премий среднемесячная заработная плата в целом по Предприятию (за исключением заработной платы директора, главного инженера и главного бухгалтера) составила в размере </w:t>
      </w:r>
      <w:r>
        <w:rPr>
          <w:rFonts w:ascii="Times New Roman" w:hAnsi="Times New Roman" w:cs="Times New Roman"/>
          <w:i/>
          <w:sz w:val="24"/>
          <w:szCs w:val="24"/>
        </w:rPr>
        <w:t>24 515,80 рублей</w:t>
      </w:r>
      <w:r>
        <w:rPr>
          <w:rFonts w:ascii="Times New Roman" w:hAnsi="Times New Roman" w:cs="Times New Roman"/>
          <w:sz w:val="24"/>
          <w:szCs w:val="24"/>
        </w:rPr>
        <w:t xml:space="preserve"> за 2020 год, в размере </w:t>
      </w:r>
      <w:r>
        <w:rPr>
          <w:rFonts w:ascii="Times New Roman" w:hAnsi="Times New Roman" w:cs="Times New Roman"/>
          <w:i/>
          <w:sz w:val="24"/>
          <w:szCs w:val="24"/>
        </w:rPr>
        <w:t>24 154,66 рублей</w:t>
      </w:r>
      <w:r>
        <w:rPr>
          <w:rFonts w:ascii="Times New Roman" w:hAnsi="Times New Roman" w:cs="Times New Roman"/>
          <w:sz w:val="24"/>
          <w:szCs w:val="24"/>
        </w:rPr>
        <w:t xml:space="preserve"> за 2021 год и в размере </w:t>
      </w:r>
      <w:r>
        <w:rPr>
          <w:rFonts w:ascii="Times New Roman" w:hAnsi="Times New Roman" w:cs="Times New Roman"/>
          <w:i/>
          <w:sz w:val="24"/>
          <w:szCs w:val="24"/>
        </w:rPr>
        <w:t>25 892,30  рублей</w:t>
      </w:r>
      <w:r>
        <w:rPr>
          <w:rFonts w:ascii="Times New Roman" w:hAnsi="Times New Roman" w:cs="Times New Roman"/>
          <w:sz w:val="24"/>
          <w:szCs w:val="24"/>
        </w:rPr>
        <w:t xml:space="preserve"> за 2022 год, при этом среднемесячная заработная плата директора, формируемая за счёт всех источников финансового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 составила:</w:t>
      </w:r>
    </w:p>
    <w:p w:rsidR="00DF3027" w:rsidRDefault="00DF3027" w:rsidP="00DF30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</w:t>
      </w:r>
      <w:r>
        <w:rPr>
          <w:rFonts w:ascii="Times New Roman" w:hAnsi="Times New Roman" w:cs="Times New Roman"/>
          <w:i/>
          <w:sz w:val="24"/>
          <w:szCs w:val="24"/>
        </w:rPr>
        <w:t xml:space="preserve">73 855,99 рублей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уровень соотношения равен 3,0 )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027" w:rsidRDefault="00DF3027" w:rsidP="00DF30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- </w:t>
      </w:r>
      <w:r>
        <w:rPr>
          <w:rFonts w:ascii="Times New Roman" w:hAnsi="Times New Roman" w:cs="Times New Roman"/>
          <w:i/>
          <w:sz w:val="24"/>
          <w:szCs w:val="24"/>
        </w:rPr>
        <w:t xml:space="preserve">85 026,64 рублей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уровень соотношения равен 3,5);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027" w:rsidRDefault="00DF3027" w:rsidP="00DF302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</w:t>
      </w:r>
      <w:r>
        <w:rPr>
          <w:rFonts w:ascii="Times New Roman" w:hAnsi="Times New Roman" w:cs="Times New Roman"/>
          <w:i/>
          <w:sz w:val="24"/>
          <w:szCs w:val="24"/>
        </w:rPr>
        <w:t xml:space="preserve">82 993,07 рублей  (уровень соотношения равен 3,2.) </w:t>
      </w:r>
    </w:p>
    <w:p w:rsidR="00DF3027" w:rsidRDefault="00DF3027" w:rsidP="00DF302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превышает предельный уровень соотношения средней заработной платы руководителя предприятия к средней заработной плате работников предприятия, установленный пунктом Приложением № 3  к  решению Городской Думы  от 17.08.2017 № 42-р в размере 4,0.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8.Дебиторская задолженность по состоянию на 01.01.2023 года составила в сумме </w:t>
      </w:r>
      <w:r>
        <w:rPr>
          <w:rFonts w:ascii="Times New Roman" w:hAnsi="Times New Roman" w:cs="Times New Roman"/>
          <w:i/>
          <w:sz w:val="24"/>
          <w:szCs w:val="24"/>
        </w:rPr>
        <w:t>136 031,0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и по отношению к 01.01.2020 г. увеличилась на сумму </w:t>
      </w:r>
      <w:r>
        <w:rPr>
          <w:rFonts w:ascii="Times New Roman" w:hAnsi="Times New Roman" w:cs="Times New Roman"/>
          <w:i/>
          <w:sz w:val="24"/>
          <w:szCs w:val="24"/>
        </w:rPr>
        <w:t>23 751,0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21,2%.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Дебиторская задолженность </w:t>
      </w:r>
      <w:r>
        <w:rPr>
          <w:rFonts w:ascii="Times New Roman" w:hAnsi="Times New Roman" w:cs="Times New Roman"/>
          <w:i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перед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тепловые сети» по состоянию на 01.01.2023 года составляет в сумме </w:t>
      </w:r>
      <w:r>
        <w:rPr>
          <w:rFonts w:ascii="Times New Roman" w:hAnsi="Times New Roman" w:cs="Times New Roman"/>
          <w:i/>
          <w:sz w:val="24"/>
          <w:szCs w:val="24"/>
        </w:rPr>
        <w:t>109 810,0 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что составляет 80,7 % от всей имеющейся задолженности.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отношению к 01.01.2020 года задолженность населения по состоянию на 01.01.2023 года  увеличилась на </w:t>
      </w:r>
      <w:r>
        <w:rPr>
          <w:rFonts w:ascii="Times New Roman" w:hAnsi="Times New Roman" w:cs="Times New Roman"/>
          <w:i/>
          <w:sz w:val="24"/>
          <w:szCs w:val="24"/>
        </w:rPr>
        <w:t>28 435,0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или на 34,9 %, а по отношению к 01.01.2022 года задолженность населения увеличилась  на </w:t>
      </w:r>
      <w:r>
        <w:rPr>
          <w:rFonts w:ascii="Times New Roman" w:hAnsi="Times New Roman" w:cs="Times New Roman"/>
          <w:i/>
          <w:sz w:val="24"/>
          <w:szCs w:val="24"/>
        </w:rPr>
        <w:t>14 386,0 тыс.рублей</w:t>
      </w:r>
      <w:r>
        <w:rPr>
          <w:rFonts w:ascii="Times New Roman" w:hAnsi="Times New Roman" w:cs="Times New Roman"/>
          <w:sz w:val="24"/>
          <w:szCs w:val="24"/>
        </w:rPr>
        <w:t>, или 15,1%.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Кредиторская задолженность Предприятия на 01.01.2023 г. составляет в сумме </w:t>
      </w:r>
      <w:r>
        <w:rPr>
          <w:rFonts w:ascii="Times New Roman" w:hAnsi="Times New Roman" w:cs="Times New Roman"/>
          <w:i/>
          <w:sz w:val="24"/>
          <w:szCs w:val="24"/>
        </w:rPr>
        <w:t>41 868,0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ублей,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DF3027" w:rsidRDefault="00DF3027" w:rsidP="009C5A9F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поставщикам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i/>
          <w:sz w:val="24"/>
          <w:szCs w:val="24"/>
        </w:rPr>
        <w:t>37 528,0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за поставленные топливно-энергетические ресурсы в сумме </w:t>
      </w:r>
      <w:r>
        <w:rPr>
          <w:rFonts w:ascii="Times New Roman" w:hAnsi="Times New Roman" w:cs="Times New Roman"/>
          <w:i/>
          <w:sz w:val="24"/>
          <w:szCs w:val="24"/>
        </w:rPr>
        <w:t>37 463,0 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бюджету </w:t>
      </w:r>
      <w:r>
        <w:rPr>
          <w:rFonts w:ascii="Times New Roman" w:hAnsi="Times New Roman" w:cs="Times New Roman"/>
          <w:sz w:val="24"/>
          <w:szCs w:val="24"/>
        </w:rPr>
        <w:t xml:space="preserve">по начисленным  налогам  в сумме </w:t>
      </w:r>
      <w:r>
        <w:rPr>
          <w:rFonts w:ascii="Times New Roman" w:hAnsi="Times New Roman" w:cs="Times New Roman"/>
          <w:i/>
          <w:sz w:val="24"/>
          <w:szCs w:val="24"/>
        </w:rPr>
        <w:t>1830,0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перед внебюджетными фондами </w:t>
      </w:r>
      <w:r>
        <w:rPr>
          <w:rFonts w:ascii="Times New Roman" w:hAnsi="Times New Roman" w:cs="Times New Roman"/>
          <w:sz w:val="24"/>
          <w:szCs w:val="24"/>
        </w:rPr>
        <w:t>по отчислениям от заработной платы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989,0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ублей;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перед сотрудниками </w:t>
      </w:r>
      <w:r>
        <w:rPr>
          <w:rFonts w:ascii="Times New Roman" w:hAnsi="Times New Roman" w:cs="Times New Roman"/>
          <w:sz w:val="24"/>
          <w:szCs w:val="24"/>
        </w:rPr>
        <w:t>по заработной плате за декабрь 2022 года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1418,0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Задолженность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Людиновотеплосеть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перед персоналом по оплате труда, по налоговым платежам и перед государственными внебюджетными фондами по отчислениям от заработной платы является текущей (за декабрь 2022 года). </w:t>
      </w:r>
    </w:p>
    <w:p w:rsidR="00DF3027" w:rsidRDefault="00DF3027" w:rsidP="00DF3027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Заёмными средствами в проверяемом периоде Предприятие не пользовалось.</w:t>
      </w:r>
    </w:p>
    <w:p w:rsidR="00DF3027" w:rsidRDefault="00DF3027" w:rsidP="00DF3027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Для расчётов с кредиторами Предприятие использовало только собственные оборотные средства.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9.В нарушение пункта 2 и 3 статьи 9 Федерального закона от 06.12.2011 № 402-ФЗ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в актах приёма-передачи земельных участков от администрации муниципального района  не содержится информация о стоимости передаваемых (получаемых) земельных участков.   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В нарушение Инструкции по применению Плана счетов бухгалтерского учёта  финансово-хозяйственной деятельности организаций, утвержденной Приказом Минфина России от 31.10.2000 № 94н четырнадцать земельных участков, полученных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Людиновотеплосеть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аренду не учитываются по бухгалтерскому учёту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счёте 001 «Арендованные основные средства» на общую сумму </w:t>
      </w:r>
      <w:r>
        <w:rPr>
          <w:rFonts w:ascii="Times New Roman" w:hAnsi="Times New Roman" w:cs="Times New Roman"/>
          <w:i/>
          <w:sz w:val="24"/>
          <w:szCs w:val="24"/>
        </w:rPr>
        <w:t>3 905 928,06 рублей.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11.В  нарушение статьи 131 Гражданского Кодекса Российской Федерации и  пункта 2 статьи 2 Федерального Закона от 21.06.1997 № 122-ФЗ «О государственной регистрации прав на недвижимое  имущество и сделок по ним» Предприятие </w:t>
      </w:r>
      <w:r>
        <w:rPr>
          <w:rFonts w:ascii="Times New Roman" w:hAnsi="Times New Roman"/>
          <w:color w:val="000000"/>
          <w:sz w:val="24"/>
          <w:szCs w:val="24"/>
        </w:rPr>
        <w:t>до настоящего времени</w:t>
      </w:r>
      <w:r>
        <w:rPr>
          <w:rFonts w:ascii="Times New Roman" w:hAnsi="Times New Roman"/>
          <w:sz w:val="24"/>
          <w:szCs w:val="24"/>
        </w:rPr>
        <w:t xml:space="preserve"> не произвело регистрацию в органах юстиции  права хозяйственного ведения на четырнадцать объектов недвижимости на </w:t>
      </w:r>
      <w:r>
        <w:rPr>
          <w:rFonts w:ascii="Times New Roman" w:hAnsi="Times New Roman"/>
          <w:color w:val="000000"/>
          <w:sz w:val="24"/>
          <w:szCs w:val="24"/>
        </w:rPr>
        <w:t xml:space="preserve">общею сумму </w:t>
      </w:r>
      <w:r>
        <w:rPr>
          <w:rFonts w:ascii="Times New Roman" w:hAnsi="Times New Roman"/>
          <w:i/>
          <w:color w:val="000000"/>
          <w:sz w:val="24"/>
          <w:szCs w:val="24"/>
        </w:rPr>
        <w:t>8 626 666,17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рублей.</w:t>
      </w:r>
      <w:proofErr w:type="gramEnd"/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12.В нарушение приказа МФ РФ от 31.10.2000г. № 94н « Об утверждении Плана счетов бухгалтерского учёта финансово-хозяйственной деятельности организаций и Инструкции по его применению», в бухгалтерском учёте Предприятия не отражена дебиторская задолженность Учредителя во взносам в Уставный капитал в размере </w:t>
      </w:r>
      <w:r>
        <w:rPr>
          <w:rFonts w:ascii="Times New Roman" w:hAnsi="Times New Roman" w:cs="Times New Roman"/>
          <w:i/>
          <w:sz w:val="24"/>
          <w:szCs w:val="24"/>
        </w:rPr>
        <w:t>250,0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027" w:rsidRDefault="00DF3027" w:rsidP="00DF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представленной выписке из ЕГРЮЛ  уставный капитал зарегистрирован в сумме </w:t>
      </w:r>
      <w:r>
        <w:rPr>
          <w:rFonts w:ascii="Times New Roman" w:hAnsi="Times New Roman" w:cs="Times New Roman"/>
          <w:i/>
          <w:sz w:val="24"/>
          <w:szCs w:val="24"/>
        </w:rPr>
        <w:t>47 250,0 тыс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, тогда как по данным бухгалтерского баланса ( форма № 1)  по строке 1310 «Уставный капитал»  отражен в  сумме </w:t>
      </w:r>
      <w:r>
        <w:rPr>
          <w:rFonts w:ascii="Times New Roman" w:hAnsi="Times New Roman" w:cs="Times New Roman"/>
          <w:i/>
          <w:sz w:val="24"/>
          <w:szCs w:val="24"/>
        </w:rPr>
        <w:t>47 000,0 тыс.рублей.</w:t>
      </w:r>
    </w:p>
    <w:p w:rsidR="00DF3027" w:rsidRDefault="00DF3027" w:rsidP="00DF3027">
      <w:pPr>
        <w:tabs>
          <w:tab w:val="left" w:pos="94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5A9F" w:rsidRDefault="00DF3027" w:rsidP="009C5A9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9C5A9F">
        <w:rPr>
          <w:rFonts w:ascii="Times New Roman" w:hAnsi="Times New Roman" w:cs="Times New Roman"/>
          <w:sz w:val="24"/>
          <w:szCs w:val="24"/>
        </w:rPr>
        <w:t>По результатам проверки в адрес директора МУП «</w:t>
      </w:r>
      <w:proofErr w:type="spellStart"/>
      <w:r w:rsidR="009C5A9F">
        <w:rPr>
          <w:rFonts w:ascii="Times New Roman" w:hAnsi="Times New Roman" w:cs="Times New Roman"/>
          <w:sz w:val="24"/>
          <w:szCs w:val="24"/>
        </w:rPr>
        <w:t>Людиновотеплосеть</w:t>
      </w:r>
      <w:proofErr w:type="spellEnd"/>
      <w:r w:rsidR="009C5A9F">
        <w:rPr>
          <w:rFonts w:ascii="Times New Roman" w:hAnsi="Times New Roman" w:cs="Times New Roman"/>
          <w:sz w:val="24"/>
          <w:szCs w:val="24"/>
        </w:rPr>
        <w:t>»  направлено представление об устранении выявленных нарушений.</w:t>
      </w:r>
    </w:p>
    <w:p w:rsidR="009C5A9F" w:rsidRDefault="009C5A9F" w:rsidP="009C5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3027" w:rsidRDefault="00DF3027" w:rsidP="00DF3027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</w:t>
      </w:r>
    </w:p>
    <w:p w:rsidR="00DF3027" w:rsidRDefault="00DF3027" w:rsidP="00DF302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F5DB4" w:rsidRDefault="00AF5DB4"/>
    <w:sectPr w:rsidR="00AF5DB4" w:rsidSect="0090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F3027"/>
    <w:rsid w:val="00907CFF"/>
    <w:rsid w:val="009C5A9F"/>
    <w:rsid w:val="00AF5DB4"/>
    <w:rsid w:val="00DF3027"/>
    <w:rsid w:val="00E4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2023-12-11T07:03:00Z</dcterms:created>
  <dcterms:modified xsi:type="dcterms:W3CDTF">2023-12-11T07:15:00Z</dcterms:modified>
</cp:coreProperties>
</file>