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8C7" w:rsidRDefault="00A938C7" w:rsidP="00A938C7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A938C7" w:rsidRPr="00A938C7" w:rsidRDefault="00A938C7" w:rsidP="00A938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8C7">
        <w:rPr>
          <w:rFonts w:ascii="Times New Roman" w:hAnsi="Times New Roman"/>
          <w:b/>
          <w:sz w:val="24"/>
          <w:szCs w:val="24"/>
        </w:rPr>
        <w:t xml:space="preserve">о результатах проведенной </w:t>
      </w:r>
      <w:r w:rsidRPr="00A938C7">
        <w:rPr>
          <w:rFonts w:ascii="Times New Roman" w:hAnsi="Times New Roman" w:cs="Times New Roman"/>
          <w:b/>
          <w:sz w:val="24"/>
          <w:szCs w:val="24"/>
        </w:rPr>
        <w:t>в муниципальном казенном учреждении дополнительного образования «Детская школа искусств № 1»  проверки  целевого, эффективного использования  бюджетных средств и муниципального имущества за 2021-2023гг.</w:t>
      </w:r>
    </w:p>
    <w:p w:rsidR="00FB3582" w:rsidRDefault="00FB3582" w:rsidP="00FB3582">
      <w:pPr>
        <w:pStyle w:val="40"/>
        <w:shd w:val="clear" w:color="auto" w:fill="auto"/>
        <w:spacing w:line="360" w:lineRule="auto"/>
        <w:ind w:firstLine="567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В результате проведенных контрольных мероприятий установлены следующие нарушения.</w:t>
      </w:r>
    </w:p>
    <w:p w:rsidR="00FB3582" w:rsidRDefault="00FB3582" w:rsidP="00FB35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1.В нарушение пункта 1 статьи 13 ФЗ № 402-ФЗ, пункта 71  Инструкции N 157н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пункта 58 СГС «Основные средства» изменение кадастровой стоимости объектов недвижимости и земельных участков своевременно не отражено по данным бухгалтерского учёта Учреждения. Нарушения бухгалтерского учёта муниципального имущества повлекли за собой искажение отчётных данных баланса о стоимости нефинансовых активов имущества Учреждения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B3582" w:rsidRDefault="00FB3582" w:rsidP="00FB3582">
      <w:pPr>
        <w:tabs>
          <w:tab w:val="left" w:pos="325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по строке 010 баланса «Основные средства (балансовая стоимость)» «Баланса главного распорядителя, распорядителя, получателя  бюджетных средств» (ф.0503130), «Сведения о движении нефинансовых активов» (ф.0503168) по состоянию на 01.01.2024 года являются недостоверными и искажены на общую сумму  </w:t>
      </w:r>
      <w:r>
        <w:rPr>
          <w:rFonts w:ascii="Times New Roman" w:hAnsi="Times New Roman" w:cs="Times New Roman"/>
          <w:i/>
          <w:sz w:val="24"/>
          <w:szCs w:val="24"/>
        </w:rPr>
        <w:t>22 493 974,18 рублей.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582" w:rsidRDefault="00FB3582" w:rsidP="00FB3582">
      <w:pPr>
        <w:tabs>
          <w:tab w:val="left" w:pos="325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по строке 070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Непроизведенные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активы (остаточная стоимость)» «Баланса главного распорядителя, распорядителя, получателя  бюджетных средств» (ф.0503130), «Сведения о движении нефинансовых активов» (ф.0503168) по состоянию на 01.01.2024 года являются недостоверными и искажены на общую сумму  </w:t>
      </w:r>
      <w:r>
        <w:rPr>
          <w:rFonts w:ascii="Times New Roman" w:hAnsi="Times New Roman" w:cs="Times New Roman"/>
          <w:i/>
          <w:sz w:val="24"/>
          <w:szCs w:val="24"/>
        </w:rPr>
        <w:t>47465,60 рублей.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582" w:rsidRDefault="00FB3582" w:rsidP="00FB35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период проведения проверки нарушения в учёте нефинансовых активов устранены в полном объёме.</w:t>
      </w:r>
    </w:p>
    <w:p w:rsidR="00FB3582" w:rsidRDefault="00FB3582" w:rsidP="00FB35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В нарушение требований по оформлению первичных документов и регистров бухгалтерского учёта, установленных Приказом № 52н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инвентарных карточках учета нефинансовых активов не заполнены обязательные реквизиты: назначение и местонахождение объекта, краткая индивидуальная характеристика объекта (заводской) номер, данные о модели, типе, марке конфигурации объекта, перечень составляющих предметов, документ, устанавливающий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правообладание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(по зданиям, земельным участкам), отсутствуют записи о проведении ремонта и о сумме затрат на его проведение (по зданиям).</w:t>
      </w:r>
    </w:p>
    <w:p w:rsidR="00FB3582" w:rsidRDefault="00FB3582" w:rsidP="00FB35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3.В нарушение части 1 ст. 10 Федерального закона от 06.12.2011 № 402-ФЗ  « О бухгалтерском учете»;  пунктов 3 и 197 Инструкции от 01.12.2010 № 157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пункта 34 приказа Министерства финансов Российской Федерации от  27.02.2018 № 32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«Об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утверждении федерального стандарта бухгалтерского учета для организаций государственного сектора «Доходы» по данным бухгалтерского учёта МКУ ДО «ДШИ № 1» по состоянию на 01.01.2024 года </w:t>
      </w:r>
      <w:r w:rsidRPr="00A938C7">
        <w:rPr>
          <w:rFonts w:ascii="Times New Roman" w:hAnsi="Times New Roman" w:cs="Times New Roman"/>
          <w:sz w:val="24"/>
          <w:szCs w:val="24"/>
        </w:rPr>
        <w:t xml:space="preserve">не отражено начисление доходов в виде неустойки  за нарушение контрактных обязательств и не значится дебиторская задолженность ООО «Партнёр»  перед Учреждением в сумме  </w:t>
      </w:r>
      <w:r>
        <w:rPr>
          <w:rFonts w:ascii="Times New Roman" w:hAnsi="Times New Roman" w:cs="Times New Roman"/>
          <w:i/>
          <w:sz w:val="24"/>
          <w:szCs w:val="24"/>
        </w:rPr>
        <w:t>278 277,54  рублей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B3582" w:rsidRDefault="00FB3582" w:rsidP="00FB35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Данные по строке 250 «Дебиторская задолженность по доходам » «Баланса главного распорядителя, распорядителя, получателя  бюджетных средств» (ф.0503130), «Сведения о дебиторской и кредиторской задолженности » (ф.0503169) по состоянию на 01.01.2024 года являются недостоверными и искажены на общую сумму  </w:t>
      </w:r>
      <w:r>
        <w:rPr>
          <w:rFonts w:ascii="Times New Roman" w:hAnsi="Times New Roman" w:cs="Times New Roman"/>
          <w:i/>
          <w:sz w:val="24"/>
          <w:szCs w:val="24"/>
        </w:rPr>
        <w:t>278 277,54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рублей</w:t>
      </w:r>
    </w:p>
    <w:p w:rsidR="00FB3582" w:rsidRDefault="00FB3582" w:rsidP="00FB35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5C39" w:rsidRDefault="00EB5C39"/>
    <w:sectPr w:rsidR="00EB5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3582"/>
    <w:rsid w:val="00A938C7"/>
    <w:rsid w:val="00EB5C39"/>
    <w:rsid w:val="00FB3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FB358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B358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447</Words>
  <Characters>2552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2024-11-29T08:28:00Z</dcterms:created>
  <dcterms:modified xsi:type="dcterms:W3CDTF">2024-11-29T08:32:00Z</dcterms:modified>
</cp:coreProperties>
</file>