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9D" w:rsidRPr="00744F8B" w:rsidRDefault="00D91A9D" w:rsidP="001C36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F8B">
        <w:rPr>
          <w:rFonts w:ascii="Times New Roman" w:hAnsi="Times New Roman" w:cs="Times New Roman"/>
          <w:b/>
          <w:sz w:val="28"/>
          <w:szCs w:val="28"/>
        </w:rPr>
        <w:t>Приказ Минтруда России 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</w:t>
      </w:r>
      <w:r w:rsidR="00C32833" w:rsidRPr="00744F8B">
        <w:rPr>
          <w:rFonts w:ascii="Times New Roman" w:hAnsi="Times New Roman" w:cs="Times New Roman"/>
          <w:b/>
          <w:sz w:val="28"/>
          <w:szCs w:val="28"/>
        </w:rPr>
        <w:t>ми производственными факторами».</w:t>
      </w:r>
    </w:p>
    <w:p w:rsidR="001C36FD" w:rsidRPr="001C36FD" w:rsidRDefault="00D91A9D" w:rsidP="001C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sz w:val="28"/>
          <w:szCs w:val="28"/>
        </w:rPr>
        <w:t>В целях упрощения процедуры (оптимизации процесса) получения страхователями решения о финансовом обеспечении предупредительных мер:</w:t>
      </w:r>
    </w:p>
    <w:p w:rsidR="001C36FD" w:rsidRPr="001C36FD" w:rsidRDefault="00D91A9D" w:rsidP="001C36FD">
      <w:pPr>
        <w:pStyle w:val="a6"/>
        <w:numPr>
          <w:ilvl w:val="0"/>
          <w:numId w:val="33"/>
        </w:numPr>
        <w:ind w:left="578" w:hanging="578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bCs/>
          <w:iCs/>
          <w:sz w:val="28"/>
          <w:szCs w:val="28"/>
        </w:rPr>
        <w:t>не предполагается представление страхователем предварительного комплекта документов (только заявление и плана финансового обеспечения предупредительных мер)</w:t>
      </w:r>
      <w:r w:rsidR="001C36FD" w:rsidRPr="001C36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C36FD" w:rsidRPr="001C36FD" w:rsidRDefault="00D91A9D" w:rsidP="001C36FD">
      <w:pPr>
        <w:pStyle w:val="a6"/>
        <w:numPr>
          <w:ilvl w:val="0"/>
          <w:numId w:val="33"/>
        </w:numPr>
        <w:ind w:left="578" w:hanging="578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bCs/>
          <w:iCs/>
          <w:sz w:val="28"/>
          <w:szCs w:val="28"/>
        </w:rPr>
        <w:t>не предусмотрено согласование с ЦА СФР решения в отношении крупных страхователей</w:t>
      </w:r>
      <w:r w:rsidR="001C36FD" w:rsidRPr="001C36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C36FD" w:rsidRPr="001C36FD" w:rsidRDefault="00D91A9D" w:rsidP="001C36FD">
      <w:pPr>
        <w:pStyle w:val="a6"/>
        <w:numPr>
          <w:ilvl w:val="0"/>
          <w:numId w:val="33"/>
        </w:numPr>
        <w:ind w:left="578" w:hanging="578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bCs/>
          <w:iCs/>
          <w:sz w:val="28"/>
          <w:szCs w:val="28"/>
        </w:rPr>
        <w:t>сокращен срок принятия решений для крупных страхователей (с 21 рабочего дня до 10 рабочих дней)</w:t>
      </w:r>
      <w:r w:rsidR="001C36FD" w:rsidRPr="001C36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C36FD" w:rsidRPr="001C36FD" w:rsidRDefault="00D91A9D" w:rsidP="001C36FD">
      <w:pPr>
        <w:pStyle w:val="a6"/>
        <w:numPr>
          <w:ilvl w:val="0"/>
          <w:numId w:val="33"/>
        </w:numPr>
        <w:ind w:left="578" w:hanging="578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bCs/>
          <w:iCs/>
          <w:sz w:val="28"/>
          <w:szCs w:val="28"/>
        </w:rPr>
        <w:t>предусмотрено самостоятельное определение (изменение) страхователем направления расходования средств на предупредительные меры</w:t>
      </w:r>
      <w:r w:rsidR="001C36FD" w:rsidRPr="001C36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91A9D" w:rsidRPr="001C36FD" w:rsidRDefault="00D91A9D" w:rsidP="001C36FD">
      <w:pPr>
        <w:pStyle w:val="a6"/>
        <w:numPr>
          <w:ilvl w:val="0"/>
          <w:numId w:val="33"/>
        </w:numPr>
        <w:ind w:left="578" w:hanging="578"/>
        <w:jc w:val="both"/>
        <w:rPr>
          <w:rFonts w:ascii="Times New Roman" w:hAnsi="Times New Roman" w:cs="Times New Roman"/>
          <w:sz w:val="28"/>
          <w:szCs w:val="28"/>
        </w:rPr>
      </w:pPr>
      <w:r w:rsidRPr="001C36FD">
        <w:rPr>
          <w:rFonts w:ascii="Times New Roman" w:hAnsi="Times New Roman" w:cs="Times New Roman"/>
          <w:bCs/>
          <w:iCs/>
          <w:sz w:val="28"/>
          <w:szCs w:val="28"/>
        </w:rPr>
        <w:t>предоставляется право страхователю в течение 5 рабочих дней на устранение замечаний в документах, подтверждающих произведенные расходы</w:t>
      </w:r>
      <w:r w:rsidR="001C36FD" w:rsidRPr="001C36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1A9D" w:rsidRDefault="001C36FD">
      <w:r w:rsidRPr="00D91A9D">
        <w:rPr>
          <w:noProof/>
          <w:lang w:eastAsia="ru-RU"/>
        </w:rPr>
        <w:drawing>
          <wp:inline distT="0" distB="0" distL="0" distR="0" wp14:anchorId="16B4CDB6" wp14:editId="314487B9">
            <wp:extent cx="6738552" cy="379247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933" cy="37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A9D" w:rsidRDefault="00D91A9D"/>
    <w:p w:rsidR="00D91A9D" w:rsidRDefault="00D91A9D"/>
    <w:p w:rsidR="00D91A9D" w:rsidRDefault="00D91A9D"/>
    <w:p w:rsidR="00D91A9D" w:rsidRPr="00D91A9D" w:rsidRDefault="00D91A9D" w:rsidP="00D91A9D"/>
    <w:p w:rsidR="004B605F" w:rsidRPr="00C32833" w:rsidRDefault="005B7217" w:rsidP="001C36F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 средств не может превышать 20% сумм страховых взносов</w:t>
      </w:r>
      <w:r w:rsidR="00C32833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C32833" w:rsidRPr="00C32833">
        <w:rPr>
          <w:rFonts w:ascii="Times New Roman" w:hAnsi="Times New Roman" w:cs="Times New Roman"/>
          <w:b/>
          <w:bCs/>
          <w:sz w:val="28"/>
          <w:szCs w:val="28"/>
        </w:rPr>
        <w:t xml:space="preserve">начисленных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32833" w:rsidRPr="00C32833">
        <w:rPr>
          <w:rFonts w:ascii="Times New Roman" w:hAnsi="Times New Roman" w:cs="Times New Roman"/>
          <w:b/>
          <w:bCs/>
          <w:sz w:val="28"/>
          <w:szCs w:val="28"/>
        </w:rPr>
        <w:t>а предшествующий календарный год</w:t>
      </w:r>
      <w:r w:rsidRPr="001C36F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C36FD" w:rsidRPr="001C36FD" w:rsidRDefault="001C36FD" w:rsidP="001C36FD">
      <w:pPr>
        <w:rPr>
          <w:rFonts w:ascii="Times New Roman" w:hAnsi="Times New Roman" w:cs="Times New Roman"/>
          <w:b/>
          <w:bCs/>
          <w:sz w:val="24"/>
        </w:rPr>
      </w:pPr>
      <w:r w:rsidRPr="001C36F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5FFA8" wp14:editId="4A1DD421">
                <wp:simplePos x="0" y="0"/>
                <wp:positionH relativeFrom="column">
                  <wp:posOffset>592455</wp:posOffset>
                </wp:positionH>
                <wp:positionV relativeFrom="paragraph">
                  <wp:posOffset>48895</wp:posOffset>
                </wp:positionV>
                <wp:extent cx="5315585" cy="1120775"/>
                <wp:effectExtent l="0" t="38100" r="75565" b="98425"/>
                <wp:wrapNone/>
                <wp:docPr id="17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585" cy="1120775"/>
                          <a:chOff x="0" y="0"/>
                          <a:chExt cx="8568952" cy="2016224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288032"/>
                            <a:ext cx="1512168" cy="122413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</w:p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для каждого страхователя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512168" y="288032"/>
                            <a:ext cx="576064" cy="122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≤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944216" y="288032"/>
                            <a:ext cx="1368152" cy="129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20 % *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456384" y="216024"/>
                            <a:ext cx="2520280" cy="165618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страховые взносы, начисленные за предшествующий календарный год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6408712" y="216024"/>
                            <a:ext cx="2016224" cy="165618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расходы на выплату обеспечения, произведенные страхователем в предшествующем календарном году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5832648" y="432048"/>
                            <a:ext cx="720080" cy="122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Левая круглая скобка 8"/>
                        <wps:cNvSpPr/>
                        <wps:spPr>
                          <a:xfrm>
                            <a:off x="3240360" y="0"/>
                            <a:ext cx="216024" cy="2016224"/>
                          </a:xfrm>
                          <a:prstGeom prst="leftBracket">
                            <a:avLst>
                              <a:gd name="adj" fmla="val 39882"/>
                            </a:avLst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Левая круглая скобка 9"/>
                        <wps:cNvSpPr/>
                        <wps:spPr>
                          <a:xfrm flipH="1">
                            <a:off x="8352928" y="0"/>
                            <a:ext cx="216024" cy="2016224"/>
                          </a:xfrm>
                          <a:prstGeom prst="leftBracket">
                            <a:avLst>
                              <a:gd name="adj" fmla="val 39882"/>
                            </a:avLst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C36FD" w:rsidRDefault="001C36FD" w:rsidP="001C36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46.65pt;margin-top:3.85pt;width:418.55pt;height:88.25pt;z-index:251659264;mso-width-relative:margin;mso-height-relative:margin" coordsize="85689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">
                <v:rect id="Прямоугольник 2" o:spid="_x0000_s1027" style="position:absolute;top:2880;width:15121;height:1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для каждого страхователя</w:t>
                        </w:r>
                      </w:p>
                    </w:txbxContent>
                  </v:textbox>
                </v:rect>
                <v:rect id="Прямоугольник 3" o:spid="_x0000_s1028" style="position:absolute;left:15121;top:2880;width:5761;height:1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≤</w:t>
                        </w:r>
                      </w:p>
                    </w:txbxContent>
                  </v:textbox>
                </v:rect>
                <v:rect id="Прямоугольник 4" o:spid="_x0000_s1029" style="position:absolute;left:19442;top:2880;width:13681;height:1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20 % *</w:t>
                        </w:r>
                      </w:p>
                    </w:txbxContent>
                  </v:textbox>
                </v:rect>
                <v:rect id="Прямоугольник 5" o:spid="_x0000_s1030" style="position:absolute;left:34563;top:2160;width:25203;height:16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IYcIA&#10;AADaAAAADwAAAGRycy9kb3ducmV2LnhtbESP3YrCMBSE7wXfIRxh7zRVWHGrsZSFhYVFwZ+9PzTH&#10;trQ5KU3U6NMbQfBymJlvmFUWTCsu1LvasoLpJAFBXFhdc6ngePgZL0A4j6yxtUwKbuQgWw8HK0y1&#10;vfKOLntfighhl6KCyvsuldIVFRl0E9sRR+9ke4M+yr6UusdrhJtWzpJkLg3WHBcq7Oi7oqLZn42C&#10;fBbO92Jzmx+/5H36979tjAmNUh+jkC9BeAr+HX61f7WCT3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8hhwgAAANoAAAAPAAAAAAAAAAAAAAAAAJgCAABkcnMvZG93&#10;bnJldi54bWxQSwUGAAAAAAQABAD1AAAAhwMAAAAA&#10;" fillcolor="white [3201]" strokecolor="#4f81bd [3204]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страховые взносы, начисленные за предшествующий календарный год</w:t>
                        </w:r>
                      </w:p>
                    </w:txbxContent>
                  </v:textbox>
                </v:rect>
                <v:rect id="Прямоугольник 6" o:spid="_x0000_s1031" style="position:absolute;left:64087;top:2160;width:20162;height:16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WFsIA&#10;AADaAAAADwAAAGRycy9kb3ducmV2LnhtbESPQWvCQBSE7wX/w/KE3uomHkKbuooIgiAKTe39kX0m&#10;Idm3IbvRNb++KxR6HGbmG2a1CaYTNxpcY1lBukhAEJdWN1wpuHzv395BOI+ssbNMCh7kYLOevaww&#10;1/bOX3QrfCUihF2OCmrv+1xKV9Zk0C1sTxy9qx0M+iiHSuoB7xFuOrlMkkwabDgu1NjTrqayLUaj&#10;YLsM41SeHtnlQ07p8efcGhNapV7nYfsJwlPw/+G/9kEry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VYWwgAAANoAAAAPAAAAAAAAAAAAAAAAAJgCAABkcnMvZG93&#10;bnJldi54bWxQSwUGAAAAAAQABAD1AAAAhwMAAAAA&#10;" fillcolor="white [3201]" strokecolor="#4f81bd [3204]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расходы на выплату обеспечения, произведенные страхователем в предшествующем календарном году</w:t>
                        </w:r>
                      </w:p>
                    </w:txbxContent>
                  </v:textbox>
                </v:rect>
                <v:rect id="Прямоугольник 7" o:spid="_x0000_s1032" style="position:absolute;left:58326;top:4320;width:7201;height:1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1C36FD" w:rsidRDefault="001C36FD" w:rsidP="001C36F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−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8" o:spid="_x0000_s1033" type="#_x0000_t85" style="position:absolute;left:32403;width:2160;height:20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sncAA&#10;AADaAAAADwAAAGRycy9kb3ducmV2LnhtbERP3WrCMBS+H/gO4Qi7GZq6wZBqlCIIlV2Mqg9waI5N&#10;aXNSkmjrnn65GOzy4/vf7ifbiwf50DpWsFpmIIhrp1tuFFwvx8UaRIjIGnvHpOBJAfa72csWc+1G&#10;ruhxjo1IIRxyVGBiHHIpQ23IYli6gThxN+ctxgR9I7XHMYXbXr5n2ae02HJqMDjQwVDdne9WwVC9&#10;jX3ls6+yK75PZdGZD/tTKfU6n4oNiEhT/Bf/uUutIG1NV9IN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sncAAAADaAAAADwAAAAAAAAAAAAAAAACYAgAAZHJzL2Rvd25y&#10;ZXYueG1sUEsFBgAAAAAEAAQA9QAAAIUDAAAAAA==&#10;" adj="923" strokecolor="#4f81bd [3204]" strokeweight="3pt">
                  <v:shadow on="t" color="black" opacity="22937f" origin=",.5" offset="0,.63889mm"/>
                  <v:textbox>
                    <w:txbxContent>
                      <w:p w:rsidR="001C36FD" w:rsidRDefault="001C36FD" w:rsidP="001C36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Левая круглая скобка 9" o:spid="_x0000_s1034" type="#_x0000_t85" style="position:absolute;left:83529;width:2160;height:201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bzcIA&#10;AADaAAAADwAAAGRycy9kb3ducmV2LnhtbESPQYvCMBSE78L+h/AEL2LTXVDWapTFRRDBg7og3p7N&#10;My02L6XJav33RhA8DjPzDTOdt7YSV2p86VjBZ5KCIM6dLtko+NsvB98gfEDWWDkmBXfyMJ99dKaY&#10;aXfjLV13wYgIYZ+hgiKEOpPS5wVZ9ImriaN3do3FEGVjpG7wFuG2kl9pOpIWS44LBda0KCi/7P6t&#10;gl+kdr20frhxZn08mXPZD4eFUr1u+zMBEagN7/CrvdIKxv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dvNwgAAANoAAAAPAAAAAAAAAAAAAAAAAJgCAABkcnMvZG93&#10;bnJldi54bWxQSwUGAAAAAAQABAD1AAAAhwMAAAAA&#10;" adj="923" strokecolor="#4f81bd [3204]" strokeweight="3pt">
                  <v:shadow on="t" color="black" opacity="22937f" origin=",.5" offset="0,.63889mm"/>
                  <v:textbox>
                    <w:txbxContent>
                      <w:p w:rsidR="001C36FD" w:rsidRDefault="001C36FD" w:rsidP="001C36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C36FD" w:rsidRPr="001C36FD" w:rsidRDefault="001C36FD" w:rsidP="001C36FD">
      <w:pPr>
        <w:rPr>
          <w:rFonts w:ascii="Times New Roman" w:hAnsi="Times New Roman" w:cs="Times New Roman"/>
          <w:sz w:val="24"/>
        </w:rPr>
      </w:pPr>
    </w:p>
    <w:p w:rsidR="001C36FD" w:rsidRPr="00D91A9D" w:rsidRDefault="001C36FD" w:rsidP="001C36FD">
      <w:pPr>
        <w:ind w:left="720"/>
      </w:pPr>
    </w:p>
    <w:p w:rsidR="00D91A9D" w:rsidRPr="00D91A9D" w:rsidRDefault="00D91A9D" w:rsidP="00D91A9D">
      <w:pPr>
        <w:ind w:left="720"/>
      </w:pPr>
    </w:p>
    <w:p w:rsidR="004B605F" w:rsidRPr="001C36FD" w:rsidRDefault="005B7217" w:rsidP="001C36F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6FD">
        <w:rPr>
          <w:rFonts w:ascii="Times New Roman" w:hAnsi="Times New Roman" w:cs="Times New Roman"/>
          <w:b/>
          <w:bCs/>
          <w:sz w:val="28"/>
          <w:szCs w:val="28"/>
        </w:rPr>
        <w:t>Объем средств может быть увеличен до 30% сумм страховых взносов при условии направление на оздоровление работников предпенсионного и пенсионного возраста в организациях, осуществляющих санаторно-курортное лечение</w:t>
      </w:r>
      <w:r w:rsidR="001C36FD" w:rsidRPr="001C36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1A9D" w:rsidRDefault="00D91A9D" w:rsidP="00D91A9D">
      <w:pPr>
        <w:pStyle w:val="a6"/>
      </w:pPr>
    </w:p>
    <w:p w:rsidR="00C32833" w:rsidRPr="00C32833" w:rsidRDefault="00C32833" w:rsidP="00C32833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C3283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!!!! На день подачи заявления страхователь не должен иметь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</w:p>
    <w:p w:rsidR="00D91A9D" w:rsidRDefault="00D91A9D" w:rsidP="00D91A9D"/>
    <w:p w:rsidR="001C36FD" w:rsidRDefault="001C36FD" w:rsidP="001C36F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eastAsia="ru-RU"/>
        </w:rPr>
      </w:pPr>
      <w:r w:rsidRPr="001C36F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eastAsia="ru-RU"/>
        </w:rPr>
        <w:t>Финансовому обеспечению за счет сумм страховых взносов подлежат расходы страхователя на следующие предупредительные меры:</w:t>
      </w:r>
    </w:p>
    <w:p w:rsidR="00446A22" w:rsidRPr="001C36FD" w:rsidRDefault="00446A22" w:rsidP="001C36FD">
      <w:pPr>
        <w:spacing w:after="0" w:line="288" w:lineRule="atLeast"/>
        <w:ind w:firstLine="540"/>
        <w:jc w:val="both"/>
      </w:pP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роведение специальной оценки условий труда</w:t>
      </w:r>
      <w:r w:rsidR="00446A22">
        <w:rPr>
          <w:rFonts w:ascii="Times New Roman" w:hAnsi="Times New Roman" w:cs="Times New Roman"/>
          <w:sz w:val="28"/>
          <w:szCs w:val="28"/>
        </w:rPr>
        <w:t>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</w:t>
      </w:r>
      <w:r w:rsidR="00446A22">
        <w:rPr>
          <w:rFonts w:ascii="Times New Roman" w:hAnsi="Times New Roman" w:cs="Times New Roman"/>
          <w:bCs/>
          <w:sz w:val="28"/>
          <w:szCs w:val="28"/>
        </w:rPr>
        <w:t>вными требованиями охраны труда;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</w:t>
      </w:r>
      <w:r w:rsidR="00446A22">
        <w:rPr>
          <w:rFonts w:ascii="Times New Roman" w:hAnsi="Times New Roman" w:cs="Times New Roman"/>
          <w:bCs/>
          <w:sz w:val="28"/>
          <w:szCs w:val="28"/>
        </w:rPr>
        <w:t xml:space="preserve"> следующих категорий работников;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</w:t>
      </w:r>
      <w:proofErr w:type="gram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результатов проведения специальной оценки условий труда, а также смывающих </w:t>
      </w:r>
      <w:r w:rsidR="00446A22">
        <w:rPr>
          <w:rFonts w:ascii="Times New Roman" w:hAnsi="Times New Roman" w:cs="Times New Roman"/>
          <w:bCs/>
          <w:sz w:val="28"/>
          <w:szCs w:val="28"/>
        </w:rPr>
        <w:t>и (или) обезвреживающих средств;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анаторно-курортное лечение работников, занятых на работах с вредными и (или) опасными производственными факторами (исключая размеще</w:t>
      </w:r>
      <w:r w:rsidR="00446A22">
        <w:rPr>
          <w:rFonts w:ascii="Times New Roman" w:hAnsi="Times New Roman" w:cs="Times New Roman"/>
          <w:bCs/>
          <w:sz w:val="28"/>
          <w:szCs w:val="28"/>
        </w:rPr>
        <w:t>ние в номерах высшей категории);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роведение обязательных периодических медицинских осм</w:t>
      </w:r>
      <w:r w:rsidR="00446A22">
        <w:rPr>
          <w:rFonts w:ascii="Times New Roman" w:hAnsi="Times New Roman" w:cs="Times New Roman"/>
          <w:bCs/>
          <w:sz w:val="28"/>
          <w:szCs w:val="28"/>
        </w:rPr>
        <w:t>отров (обследований) работников;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беспечение лечебно-профилактическим питанием (далее - ЛПП) работников, для которых указанное питание предусмотрено перечнем отдельных видов работ, при выполнении которых работникам предоставляется бесплатно по установленным нормам л</w:t>
      </w:r>
      <w:r w:rsidR="00446A22">
        <w:rPr>
          <w:rFonts w:ascii="Times New Roman" w:hAnsi="Times New Roman" w:cs="Times New Roman"/>
          <w:bCs/>
          <w:sz w:val="28"/>
          <w:szCs w:val="28"/>
        </w:rPr>
        <w:t>ечебно-профилактическое питание;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риобретение страхователями, работники которых проходят обязательные </w:t>
      </w:r>
      <w:proofErr w:type="spell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предсменные</w:t>
      </w:r>
      <w:proofErr w:type="spell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послесменные</w:t>
      </w:r>
      <w:proofErr w:type="spell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) и (или) </w:t>
      </w:r>
      <w:proofErr w:type="spell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предрейсовые</w:t>
      </w:r>
      <w:proofErr w:type="spell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послерейсовые</w:t>
      </w:r>
      <w:proofErr w:type="spell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веществ в моче, зарегистрированных в установленном порядке</w:t>
      </w:r>
      <w:r w:rsidR="00446A22">
        <w:rPr>
          <w:rFonts w:ascii="Times New Roman" w:hAnsi="Times New Roman" w:cs="Times New Roman"/>
          <w:bCs/>
          <w:sz w:val="28"/>
          <w:szCs w:val="28"/>
        </w:rPr>
        <w:t>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риобретение страхователями, осуществляющими пассажирские и грузовые перевозки, приборов </w:t>
      </w:r>
      <w:proofErr w:type="gram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режимом труда </w:t>
      </w:r>
      <w:r w:rsidR="00446A22">
        <w:rPr>
          <w:rFonts w:ascii="Times New Roman" w:hAnsi="Times New Roman" w:cs="Times New Roman"/>
          <w:bCs/>
          <w:sz w:val="28"/>
          <w:szCs w:val="28"/>
        </w:rPr>
        <w:t>и отдыха водителей (</w:t>
      </w:r>
      <w:proofErr w:type="spellStart"/>
      <w:r w:rsidR="00446A22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="00446A22">
        <w:rPr>
          <w:rFonts w:ascii="Times New Roman" w:hAnsi="Times New Roman" w:cs="Times New Roman"/>
          <w:bCs/>
          <w:sz w:val="28"/>
          <w:szCs w:val="28"/>
        </w:rPr>
        <w:t>);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риобретение страхователями апт</w:t>
      </w:r>
      <w:r w:rsidR="00446A22">
        <w:rPr>
          <w:rFonts w:ascii="Times New Roman" w:hAnsi="Times New Roman" w:cs="Times New Roman"/>
          <w:bCs/>
          <w:sz w:val="28"/>
          <w:szCs w:val="28"/>
        </w:rPr>
        <w:t>ечек для оказания первой помощи;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</w:t>
      </w:r>
      <w:proofErr w:type="gramStart"/>
      <w:r w:rsidR="005B7217" w:rsidRPr="00446A2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B7217" w:rsidRPr="00446A22">
        <w:rPr>
          <w:rFonts w:ascii="Times New Roman" w:hAnsi="Times New Roman" w:cs="Times New Roman"/>
          <w:bCs/>
          <w:sz w:val="28"/>
          <w:szCs w:val="28"/>
        </w:rPr>
        <w:t xml:space="preserve"> безопасным ведением работ в рамках технологических процессов, в</w:t>
      </w:r>
      <w:r w:rsidR="00446A22">
        <w:rPr>
          <w:rFonts w:ascii="Times New Roman" w:hAnsi="Times New Roman" w:cs="Times New Roman"/>
          <w:bCs/>
          <w:sz w:val="28"/>
          <w:szCs w:val="28"/>
        </w:rPr>
        <w:t xml:space="preserve"> том числе на подземных работах;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</w:t>
      </w:r>
      <w:r w:rsidR="00446A22">
        <w:rPr>
          <w:rFonts w:ascii="Times New Roman" w:hAnsi="Times New Roman" w:cs="Times New Roman"/>
          <w:bCs/>
          <w:sz w:val="28"/>
          <w:szCs w:val="28"/>
        </w:rPr>
        <w:t>росам безопасного ведения работ;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</w:t>
      </w:r>
      <w:r w:rsidR="00446A22">
        <w:rPr>
          <w:rFonts w:ascii="Times New Roman" w:hAnsi="Times New Roman" w:cs="Times New Roman"/>
          <w:bCs/>
          <w:sz w:val="28"/>
          <w:szCs w:val="28"/>
        </w:rPr>
        <w:t>ние в номерах высшей категории);</w:t>
      </w:r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</w:t>
      </w:r>
      <w:r w:rsidR="00446A22">
        <w:rPr>
          <w:rFonts w:ascii="Times New Roman" w:hAnsi="Times New Roman" w:cs="Times New Roman"/>
          <w:bCs/>
          <w:sz w:val="28"/>
          <w:szCs w:val="28"/>
        </w:rPr>
        <w:t>ыми производственными факторами;</w:t>
      </w:r>
      <w:proofErr w:type="gramEnd"/>
    </w:p>
    <w:p w:rsidR="004B605F" w:rsidRPr="00446A22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B7217" w:rsidRPr="00446A22">
        <w:rPr>
          <w:rFonts w:ascii="Times New Roman" w:hAnsi="Times New Roman" w:cs="Times New Roman"/>
          <w:bCs/>
          <w:sz w:val="28"/>
          <w:szCs w:val="28"/>
        </w:rPr>
        <w:t>беспечение бесплатной выдачей молока или других равноценных пищевых продуктов работников, занятых на рабочих ме</w:t>
      </w:r>
      <w:r w:rsidR="00446A22">
        <w:rPr>
          <w:rFonts w:ascii="Times New Roman" w:hAnsi="Times New Roman" w:cs="Times New Roman"/>
          <w:bCs/>
          <w:sz w:val="28"/>
          <w:szCs w:val="28"/>
        </w:rPr>
        <w:t>стах с вредными условиями труда;</w:t>
      </w:r>
    </w:p>
    <w:p w:rsidR="00D91A9D" w:rsidRPr="00C32833" w:rsidRDefault="009E2919" w:rsidP="00446A22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83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91A9D" w:rsidRPr="00C32833">
        <w:rPr>
          <w:rFonts w:ascii="Times New Roman" w:hAnsi="Times New Roman" w:cs="Times New Roman"/>
          <w:bCs/>
          <w:sz w:val="28"/>
          <w:szCs w:val="28"/>
        </w:rPr>
        <w:t>роведение оценки профессиональных рисков</w:t>
      </w:r>
      <w:r w:rsidR="00446A22" w:rsidRPr="00C32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D91A9D" w:rsidRPr="00D91A9D" w:rsidRDefault="00D91A9D" w:rsidP="00D91A9D"/>
    <w:sectPr w:rsidR="00D91A9D" w:rsidRPr="00D91A9D" w:rsidSect="00C32833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ECA"/>
    <w:multiLevelType w:val="hybridMultilevel"/>
    <w:tmpl w:val="FDA41ED8"/>
    <w:lvl w:ilvl="0" w:tplc="A4664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0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5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0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2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04EC0"/>
    <w:multiLevelType w:val="hybridMultilevel"/>
    <w:tmpl w:val="B1C69744"/>
    <w:lvl w:ilvl="0" w:tplc="B38E0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1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A6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E9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4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68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A0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45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F12449"/>
    <w:multiLevelType w:val="hybridMultilevel"/>
    <w:tmpl w:val="9CBC51CC"/>
    <w:lvl w:ilvl="0" w:tplc="72689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6E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6B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E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48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8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0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6A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B222E"/>
    <w:multiLevelType w:val="hybridMultilevel"/>
    <w:tmpl w:val="D940F976"/>
    <w:lvl w:ilvl="0" w:tplc="E5BAA64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AD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80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2D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B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45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49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02160"/>
    <w:multiLevelType w:val="hybridMultilevel"/>
    <w:tmpl w:val="1B5A99C6"/>
    <w:lvl w:ilvl="0" w:tplc="BDAC27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C3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27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24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2C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AB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0E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CE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81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420E4"/>
    <w:multiLevelType w:val="hybridMultilevel"/>
    <w:tmpl w:val="155A75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90F36"/>
    <w:multiLevelType w:val="hybridMultilevel"/>
    <w:tmpl w:val="97F6482A"/>
    <w:lvl w:ilvl="0" w:tplc="F89A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0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4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6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A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C4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8B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2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0E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CE7405"/>
    <w:multiLevelType w:val="hybridMultilevel"/>
    <w:tmpl w:val="6B2250DC"/>
    <w:lvl w:ilvl="0" w:tplc="90CA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F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2E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66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8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F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A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61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4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4328ED"/>
    <w:multiLevelType w:val="hybridMultilevel"/>
    <w:tmpl w:val="A4AABA54"/>
    <w:lvl w:ilvl="0" w:tplc="C3D8C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2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07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26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2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80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83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0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3D244B"/>
    <w:multiLevelType w:val="hybridMultilevel"/>
    <w:tmpl w:val="F990B73E"/>
    <w:lvl w:ilvl="0" w:tplc="3C38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0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8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0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E1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E8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AD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C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4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017418"/>
    <w:multiLevelType w:val="hybridMultilevel"/>
    <w:tmpl w:val="25DCECA2"/>
    <w:lvl w:ilvl="0" w:tplc="A5BE0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2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C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6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7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6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0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2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82175E"/>
    <w:multiLevelType w:val="hybridMultilevel"/>
    <w:tmpl w:val="36D4D598"/>
    <w:lvl w:ilvl="0" w:tplc="A17E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07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2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4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AA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80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6F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C3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5B1859"/>
    <w:multiLevelType w:val="hybridMultilevel"/>
    <w:tmpl w:val="637E693E"/>
    <w:lvl w:ilvl="0" w:tplc="E6C0E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CD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0C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A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E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A4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7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8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C069B"/>
    <w:multiLevelType w:val="hybridMultilevel"/>
    <w:tmpl w:val="1FE26D96"/>
    <w:lvl w:ilvl="0" w:tplc="7DA239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0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64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6A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F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22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C1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E23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CD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1769E"/>
    <w:multiLevelType w:val="hybridMultilevel"/>
    <w:tmpl w:val="CDDA9CC4"/>
    <w:lvl w:ilvl="0" w:tplc="B1A6A2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66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CE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E4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4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4C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E3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0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62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C08F3"/>
    <w:multiLevelType w:val="hybridMultilevel"/>
    <w:tmpl w:val="F4E20604"/>
    <w:lvl w:ilvl="0" w:tplc="462204B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8A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CC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04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8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CA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41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8D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A3037"/>
    <w:multiLevelType w:val="hybridMultilevel"/>
    <w:tmpl w:val="ECECB1D8"/>
    <w:lvl w:ilvl="0" w:tplc="349E0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F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4D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C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2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C3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8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29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C528B9"/>
    <w:multiLevelType w:val="hybridMultilevel"/>
    <w:tmpl w:val="F6C470CA"/>
    <w:lvl w:ilvl="0" w:tplc="7328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4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8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4D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22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6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6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A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8C17BC"/>
    <w:multiLevelType w:val="hybridMultilevel"/>
    <w:tmpl w:val="6A5E0B52"/>
    <w:lvl w:ilvl="0" w:tplc="CACE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62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F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5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A6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A7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6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D03D8C"/>
    <w:multiLevelType w:val="hybridMultilevel"/>
    <w:tmpl w:val="E814EEFA"/>
    <w:lvl w:ilvl="0" w:tplc="73121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434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8C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2C8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85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2A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A92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6F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A6D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FC72CB"/>
    <w:multiLevelType w:val="hybridMultilevel"/>
    <w:tmpl w:val="41801A06"/>
    <w:lvl w:ilvl="0" w:tplc="D10EBAB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02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8F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8B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C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4C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E9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E1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69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553D"/>
    <w:multiLevelType w:val="hybridMultilevel"/>
    <w:tmpl w:val="B99065F6"/>
    <w:lvl w:ilvl="0" w:tplc="09544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CA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49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05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02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22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20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E0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362DE"/>
    <w:multiLevelType w:val="hybridMultilevel"/>
    <w:tmpl w:val="55F4C56E"/>
    <w:lvl w:ilvl="0" w:tplc="8744AE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29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5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1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22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8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6B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06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D3457"/>
    <w:multiLevelType w:val="hybridMultilevel"/>
    <w:tmpl w:val="4762FE5C"/>
    <w:lvl w:ilvl="0" w:tplc="D5887D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A4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CD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1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E8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8A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60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69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D35B5"/>
    <w:multiLevelType w:val="hybridMultilevel"/>
    <w:tmpl w:val="5B8A5AE2"/>
    <w:lvl w:ilvl="0" w:tplc="F252B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5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27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40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4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49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0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6A07FF"/>
    <w:multiLevelType w:val="hybridMultilevel"/>
    <w:tmpl w:val="CDFE1A5A"/>
    <w:lvl w:ilvl="0" w:tplc="4E32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05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C9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A5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6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0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AE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A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66BD1"/>
    <w:multiLevelType w:val="hybridMultilevel"/>
    <w:tmpl w:val="2CE257C4"/>
    <w:lvl w:ilvl="0" w:tplc="6F24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E110E"/>
    <w:multiLevelType w:val="hybridMultilevel"/>
    <w:tmpl w:val="029C8A24"/>
    <w:lvl w:ilvl="0" w:tplc="F6C6D6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C0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40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7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85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87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C1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F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D22E7C"/>
    <w:multiLevelType w:val="hybridMultilevel"/>
    <w:tmpl w:val="302C6B44"/>
    <w:lvl w:ilvl="0" w:tplc="6ECC2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7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E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80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C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7D0EDE"/>
    <w:multiLevelType w:val="hybridMultilevel"/>
    <w:tmpl w:val="11FE9F72"/>
    <w:lvl w:ilvl="0" w:tplc="7E1A1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69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46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A3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AF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A9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CF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4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C282D"/>
    <w:multiLevelType w:val="hybridMultilevel"/>
    <w:tmpl w:val="DCBCC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84AEA"/>
    <w:multiLevelType w:val="hybridMultilevel"/>
    <w:tmpl w:val="78D04554"/>
    <w:lvl w:ilvl="0" w:tplc="1556DE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4B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89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0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B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82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2F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8E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06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440406"/>
    <w:multiLevelType w:val="hybridMultilevel"/>
    <w:tmpl w:val="F46C7E38"/>
    <w:lvl w:ilvl="0" w:tplc="C7326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8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4F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4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0B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8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EA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C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B6C325B"/>
    <w:multiLevelType w:val="hybridMultilevel"/>
    <w:tmpl w:val="087CCA9A"/>
    <w:lvl w:ilvl="0" w:tplc="2FC2A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6A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0D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CC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8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6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7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2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67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DC297E"/>
    <w:multiLevelType w:val="hybridMultilevel"/>
    <w:tmpl w:val="0EAC1E40"/>
    <w:lvl w:ilvl="0" w:tplc="CF883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C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0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2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6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2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6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1"/>
  </w:num>
  <w:num w:numId="5">
    <w:abstractNumId w:val="0"/>
  </w:num>
  <w:num w:numId="6">
    <w:abstractNumId w:val="10"/>
  </w:num>
  <w:num w:numId="7">
    <w:abstractNumId w:val="33"/>
  </w:num>
  <w:num w:numId="8">
    <w:abstractNumId w:val="32"/>
  </w:num>
  <w:num w:numId="9">
    <w:abstractNumId w:val="14"/>
  </w:num>
  <w:num w:numId="10">
    <w:abstractNumId w:val="9"/>
  </w:num>
  <w:num w:numId="11">
    <w:abstractNumId w:val="23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22"/>
  </w:num>
  <w:num w:numId="17">
    <w:abstractNumId w:val="8"/>
  </w:num>
  <w:num w:numId="18">
    <w:abstractNumId w:val="31"/>
  </w:num>
  <w:num w:numId="19">
    <w:abstractNumId w:val="2"/>
  </w:num>
  <w:num w:numId="20">
    <w:abstractNumId w:val="27"/>
  </w:num>
  <w:num w:numId="21">
    <w:abstractNumId w:val="34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9"/>
  </w:num>
  <w:num w:numId="27">
    <w:abstractNumId w:val="24"/>
  </w:num>
  <w:num w:numId="28">
    <w:abstractNumId w:val="20"/>
  </w:num>
  <w:num w:numId="29">
    <w:abstractNumId w:val="16"/>
  </w:num>
  <w:num w:numId="30">
    <w:abstractNumId w:val="3"/>
  </w:num>
  <w:num w:numId="31">
    <w:abstractNumId w:val="12"/>
  </w:num>
  <w:num w:numId="32">
    <w:abstractNumId w:val="28"/>
  </w:num>
  <w:num w:numId="33">
    <w:abstractNumId w:val="5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9D"/>
    <w:rsid w:val="001C36FD"/>
    <w:rsid w:val="0043378F"/>
    <w:rsid w:val="00446A22"/>
    <w:rsid w:val="004B605F"/>
    <w:rsid w:val="00595F77"/>
    <w:rsid w:val="005B7217"/>
    <w:rsid w:val="00744F8B"/>
    <w:rsid w:val="009E2919"/>
    <w:rsid w:val="009F2B8A"/>
    <w:rsid w:val="00C32833"/>
    <w:rsid w:val="00C43135"/>
    <w:rsid w:val="00D91A9D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1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1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1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Ирина Алексеевна</dc:creator>
  <cp:lastModifiedBy>Кондрашова Инна Викторовна</cp:lastModifiedBy>
  <cp:revision>2</cp:revision>
  <cp:lastPrinted>2025-01-10T09:02:00Z</cp:lastPrinted>
  <dcterms:created xsi:type="dcterms:W3CDTF">2025-01-21T09:43:00Z</dcterms:created>
  <dcterms:modified xsi:type="dcterms:W3CDTF">2025-01-21T09:43:00Z</dcterms:modified>
</cp:coreProperties>
</file>