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0D" w:rsidRDefault="00EF390D" w:rsidP="00EF39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контрольно-счетной палаты муниципального района «Город Людиново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за 2023 год </w:t>
      </w:r>
    </w:p>
    <w:p w:rsidR="00EF390D" w:rsidRDefault="00EF390D" w:rsidP="00EF39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Контрольно-счетная палата муниципального района  представляет собой независимый орган внешнего финансового контроля, созданный в целях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района,  городского  и сельских поселений и эффективного использования муниципальных ресурсов. 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Являясь постоянно действующим органом внешнего муниципального финансового контроля, контрольно-счетная палата в своей работе основывалась на принципах законности, объективности, эффективности, независимости, открытости и гласности.</w:t>
      </w:r>
    </w:p>
    <w:p w:rsidR="00EF390D" w:rsidRDefault="00EF390D" w:rsidP="00EF390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своей деятельности  руководствовалась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 181, а также стандартами внешнего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финансового контроля.</w:t>
      </w:r>
    </w:p>
    <w:p w:rsidR="00EF390D" w:rsidRDefault="00EF390D" w:rsidP="00EF390D">
      <w:pPr>
        <w:tabs>
          <w:tab w:val="left" w:pos="46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 нормативные документы (регламент, планы работы, стандарты, положение о контрольно-счетной палате и иные документы), связанные с деятельностью контрольно-счетной палаты, размещены на сайте администрации муниципального района (в разделе контрольно-счетная палата).</w:t>
      </w:r>
    </w:p>
    <w:p w:rsidR="00EF390D" w:rsidRDefault="00EF390D" w:rsidP="00EF390D">
      <w:pPr>
        <w:tabs>
          <w:tab w:val="left" w:pos="46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Контрольные, экспертно-аналитические мероприятия, обеспечивающие единую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бюджетов муниципального района, городского и сельских поселений, проводились в соответствии с регламентом, стандартами и утвержденным планом работы.</w:t>
      </w:r>
    </w:p>
    <w:p w:rsidR="00EF390D" w:rsidRDefault="00EF390D" w:rsidP="00EF390D">
      <w:pPr>
        <w:pStyle w:val="a5"/>
        <w:suppressAutoHyphens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Контрольно-счётной палате муниципального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переданы полномочия контрольно-счетного органа 5 сельских поселений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Людиновского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и 1 городского поселения «Город Людиново» по осуществлению внешнего муниципального финансового контроля.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 Федеральным законом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от 07.02.2011 № 6-ФЗ « 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контрольно-счётной палатой муниципального района с Городской Думой городского поселения «Город Людиново», Сельскими Думами 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сельских поселений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и Районным Собранием заключены трёхсторонние Соглашения,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редметом которых являлась передача </w:t>
      </w:r>
      <w:r>
        <w:rPr>
          <w:rFonts w:ascii="Times New Roman" w:hAnsi="Times New Roman"/>
          <w:sz w:val="24"/>
          <w:szCs w:val="24"/>
        </w:rPr>
        <w:t>контрольно-счётной палате МР «</w:t>
      </w:r>
      <w:r>
        <w:rPr>
          <w:rFonts w:ascii="Times New Roman" w:hAnsi="Times New Roman"/>
          <w:color w:val="000000"/>
          <w:sz w:val="24"/>
          <w:szCs w:val="24"/>
        </w:rPr>
        <w:t xml:space="preserve">Город Людиново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по осуществлению внешнего муниципального финансового контроля. 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Соглашения заключены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1. Городской Думой городского поселения «Город Людиново» от 30.12.2022 года № 1 со сроком действия с 01.01.2023 года по 31.12.2023 года;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2.Сельской Думой сельского поселения «Деревня Манино» от 30.12.2022 года  № 2 со сроком действия с 01.01.2023 года по 31.12.2023 года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3.Сельской Думой сельского поселения «Деревня Заболотье» от 30.12.2022 года №  3 со сроком действия с 01.01.2023 года по 31.12.2023 года;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4.Сельской Думой сельского поселения «Село Букань» от 30.12.2022 года № 4 со сроком действия с 01.01.2023 года по 31.12.2023 года;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5. Сельской Думой сельского поселения «Село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 от 30.12.2022 года № 5 со сроком действия с 01.01.2023 года по 31.12.2023 года;</w:t>
      </w:r>
    </w:p>
    <w:p w:rsidR="00EF390D" w:rsidRDefault="00EF390D" w:rsidP="00EF390D">
      <w:pPr>
        <w:tabs>
          <w:tab w:val="left" w:pos="993"/>
          <w:tab w:val="left" w:pos="127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6.Сельской Думой сельского поселения «Деревня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от 30.12.2023 года № 6  со сроком действия с 01.01.2023 года по 31.12.2023 года.</w:t>
      </w:r>
    </w:p>
    <w:p w:rsidR="00EF390D" w:rsidRDefault="00EF390D" w:rsidP="00EF390D">
      <w:pPr>
        <w:pStyle w:val="a5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Деятельность по переданным полномочиям в 2023 году осуществлялась в полном объеме.</w:t>
      </w:r>
    </w:p>
    <w:p w:rsidR="00EF390D" w:rsidRDefault="00EF390D" w:rsidP="00EF390D">
      <w:pPr>
        <w:pStyle w:val="a5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Информация об исполнении полномочий по осуществлению внешнего муниципального финансового контроля направлена во все вышеперечисленные поселения.</w:t>
      </w:r>
    </w:p>
    <w:p w:rsidR="00EF390D" w:rsidRDefault="00EF390D" w:rsidP="00EF390D">
      <w:pPr>
        <w:tabs>
          <w:tab w:val="left" w:pos="46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Фактическая численность работников контрольно-счетной палаты по состоянию на 01.01.2024 года состоит из одного человека (председателя)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имеющей высшее финансово-экономическое образование. 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задачей контрольно-счетной палаты являлось осуществление контроля за законным и эффективным использованием бюджетных средств, муниципального имущества, а также проведение комплекса контрольных и экспертно-аналитических мероприятий, связанных с решением задач, вытекающих из требований законодательства Российской Федерации.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2023 год сформирован исходя из необходимости реализации возложенных на контрольно-счетную палату полномочий, определенных законодательными нормативными актами.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адрес контрольно-счетной палаты о проведении контрольных и экспертно- аналитических мероприятий от законодательных органов и исполнительной власти в отчетном периоде не поступали.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района осуществляла контрольную и экспертно-аналитическую деятельность в соответствии с действующим законодательством и планом работы на 2023 год, утвержденным приказом  председателя контрольно-счётной палаты  от 23.12.2022 № 7-А. 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деятельность контрольно-счетной палаты  была направлена на повышение результативности и эффективности контрольной работы.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отражены результаты деятельности контрольно-счетной палаты  по выполнению возложенных задач и реализации полномочий, определенных законодательством. 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контрольных мероприятий являлись:</w:t>
      </w:r>
    </w:p>
    <w:p w:rsidR="00EF390D" w:rsidRDefault="00EF390D" w:rsidP="00EF390D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отношения в ходе исполнения бюджета; </w:t>
      </w:r>
    </w:p>
    <w:p w:rsidR="00EF390D" w:rsidRDefault="00EF390D" w:rsidP="00EF390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бюджетных средств и муниципального имущества;</w:t>
      </w:r>
    </w:p>
    <w:p w:rsidR="00EF390D" w:rsidRDefault="00EF390D" w:rsidP="00EF390D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бухгалтерского учета и отчетности.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проверок являлось: </w:t>
      </w:r>
      <w:r>
        <w:rPr>
          <w:rFonts w:ascii="Times New Roman" w:hAnsi="Times New Roman" w:cs="Times New Roman"/>
          <w:sz w:val="24"/>
          <w:szCs w:val="24"/>
        </w:rPr>
        <w:t>выявление и пресечение нарушений в области бюджетного законодательства и иных нормативно-правовых актов, регулирующих бюджетные отношения.</w:t>
      </w:r>
    </w:p>
    <w:p w:rsidR="00EF390D" w:rsidRDefault="00EF390D" w:rsidP="00EF390D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90D" w:rsidRDefault="00EF390D" w:rsidP="00EF390D">
      <w:pPr>
        <w:tabs>
          <w:tab w:val="left" w:pos="0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Основные итоги деятельности контрольно-счетной палаты за 2023 год</w:t>
      </w:r>
    </w:p>
    <w:p w:rsidR="00EF390D" w:rsidRDefault="00EF390D" w:rsidP="00EF390D">
      <w:pPr>
        <w:tabs>
          <w:tab w:val="left" w:pos="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F390D" w:rsidRDefault="00EF390D" w:rsidP="00EF390D">
      <w:pPr>
        <w:tabs>
          <w:tab w:val="left" w:pos="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направлениями, по которым осуществлялась деятельность контрольно-счетной палаты, являлись: контрольная, экспертно-аналитическая и  информационная.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отчетный период контрольно-счётной палатой проведено 81 контрольных и экспертно-аналитических мероприятия, из них:</w:t>
      </w:r>
      <w:proofErr w:type="gramEnd"/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13  </w:t>
      </w:r>
      <w:r>
        <w:rPr>
          <w:rFonts w:ascii="Times New Roman" w:hAnsi="Times New Roman" w:cs="Times New Roman"/>
          <w:sz w:val="24"/>
          <w:szCs w:val="24"/>
        </w:rPr>
        <w:t>контрольных мероприятий;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68   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экспертно-аналитических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Существенный рост экспертно-аналитических мероприятий в 2023 году произошел в связи обязательным проведением экспертиз муниципальных программ в соответствии с постановлением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Людиновский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район» от 26.10.2018 № 1547 « Об утверждении Порядка принятия решения о разработке муниципальных программ муниципального района «Город Людиново 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Людиновский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район», их формирования и реализации  и Порядка проведения оценки эффективности  реализации муниципальных программ, реализуемых на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территории  муниципального района «Город Людиново 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Людиновский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район.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проведены: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90D" w:rsidRDefault="00EF390D" w:rsidP="00EF390D">
      <w:pPr>
        <w:tabs>
          <w:tab w:val="left" w:pos="1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отделе культуры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- </w:t>
      </w:r>
      <w:r>
        <w:rPr>
          <w:rFonts w:ascii="Times New Roman" w:hAnsi="Times New Roman" w:cs="Times New Roman"/>
          <w:i/>
          <w:sz w:val="24"/>
          <w:szCs w:val="24"/>
        </w:rPr>
        <w:t>проверка целевого, эффективного использования бюджетных средств и муниципального имущества, полученных в рамках национального проекта «Культура»</w:t>
      </w:r>
      <w:r>
        <w:rPr>
          <w:rFonts w:ascii="Times New Roman" w:hAnsi="Times New Roman" w:cs="Times New Roman"/>
          <w:sz w:val="24"/>
          <w:szCs w:val="24"/>
        </w:rPr>
        <w:t xml:space="preserve"> за 2020-2022 гг.; </w:t>
      </w: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отделе финансов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МКОУ ДО «Центр диагностики и консультирования»,    администрации сельского поселения «Село Заречный», администрации сельского поселения «Деревня Манино», администрации сельского поселения «Село Букань» и 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осуществлена </w:t>
      </w:r>
      <w:r>
        <w:rPr>
          <w:rFonts w:ascii="Times New Roman" w:hAnsi="Times New Roman" w:cs="Times New Roman"/>
          <w:i/>
          <w:sz w:val="24"/>
          <w:szCs w:val="24"/>
        </w:rPr>
        <w:t>проверка целевого и эффективного использования бюджетных средств и  имущества;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муниципальном бюджетном учреждении «Агентство «Мой город» -  проведено контрольное мероприятие на тему </w:t>
      </w:r>
      <w:r>
        <w:rPr>
          <w:rFonts w:ascii="Times New Roman" w:hAnsi="Times New Roman" w:cs="Times New Roman"/>
          <w:i/>
          <w:sz w:val="24"/>
          <w:szCs w:val="24"/>
        </w:rPr>
        <w:t>«Проверка отдельных вопросов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2021-2022 гг.» </w:t>
      </w:r>
    </w:p>
    <w:p w:rsidR="00EF390D" w:rsidRDefault="00EF390D" w:rsidP="00EF390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автономном учреждении «Редакция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 проведена </w:t>
      </w:r>
      <w:r>
        <w:rPr>
          <w:rFonts w:ascii="Times New Roman" w:hAnsi="Times New Roman" w:cs="Times New Roman"/>
          <w:i/>
          <w:sz w:val="24"/>
          <w:szCs w:val="24"/>
        </w:rPr>
        <w:t>проверка целевого и эффективного использования бюджетных средств, полученных в виде субсидии под выполнение муниципального задания, расходования средств, полученных от иной приносящей доход деятельности и использования муниципального имущества, находящегося в оперативном управлении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.;</w:t>
      </w:r>
      <w:proofErr w:type="gramEnd"/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 муниципальном унитарном жилищно-коммунальном предприятии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в муниципальном унитарном жилищно-коммунальном предприятии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тепловые сети проведены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контрольных мероприятия на тему: «Анализ хозяйственно-финансовой деятельности за 2020-2022гг. Использование бюджетных средств и муниципального имущества, находящегося в хозяйственном ведении за 2020-2022 гг.»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в рамках совместного контрольного мероприятия с КСП Калужской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Людиновский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район» проведена 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проверка целевого, законного и эффективного расходования бюджетных средств на осуществление государственных полномочий по организации мероприятий  при осуществлении деятельности по обращению с животными без владельцев на территории Калужской области за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2021-2022 годы;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администрации 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проведено</w:t>
      </w:r>
      <w:r>
        <w:rPr>
          <w:rFonts w:ascii="Times New Roman" w:hAnsi="Times New Roman" w:cs="Times New Roman"/>
          <w:sz w:val="24"/>
          <w:szCs w:val="24"/>
        </w:rPr>
        <w:t xml:space="preserve"> контрольное мероприятие на тему  «</w:t>
      </w:r>
      <w:r>
        <w:rPr>
          <w:rFonts w:ascii="Times New Roman" w:hAnsi="Times New Roman" w:cs="Times New Roman"/>
          <w:i/>
          <w:sz w:val="24"/>
          <w:szCs w:val="24"/>
        </w:rPr>
        <w:t xml:space="preserve">Аудит эффективности использования бюджетных средств, направленных на реализацию муниципальной программы «Развитие предпринимательства на территории муниципального района «Город Людиново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ходе проведения контрольных мероприятий осуществлялись проверки на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 деятельности проверяемых объектов учредительным документам;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составления и исполнения бюджетной сметы казенных учреждений;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имущества, находящегося в собственности, хозяйственном ведении и оперативном управлении  учреждений и организаций;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ведения бухгалтерского учета, достоверности бухгалтерской  (бюджетной) отчетности;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исполнения муниципальных программ.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 составлено 13 актов проверок, на экспертно-аналитические мероприятия подготовлено 68  экспертных заключения. 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проведения контрольных мероприятий проверено расходование  бюджетных средств на сумму </w:t>
      </w:r>
      <w:r>
        <w:rPr>
          <w:rFonts w:ascii="Times New Roman" w:hAnsi="Times New Roman" w:cs="Times New Roman"/>
          <w:b/>
          <w:i/>
          <w:sz w:val="24"/>
          <w:szCs w:val="24"/>
        </w:rPr>
        <w:t>292,0 млн. рублей.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того, в процессе проверок проведено 9 мероприятий по соблюдению установленного порядка управления и распоряжения имуществом, находящимся в муниципальной собственности в объеме </w:t>
      </w:r>
      <w:r>
        <w:rPr>
          <w:rFonts w:ascii="Times New Roman" w:hAnsi="Times New Roman" w:cs="Times New Roman"/>
          <w:b/>
          <w:i/>
          <w:sz w:val="24"/>
          <w:szCs w:val="24"/>
        </w:rPr>
        <w:t>491,4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контрольной деятельности за 2023 год контрольно-счётной палатой выявлен </w:t>
      </w:r>
      <w:r>
        <w:rPr>
          <w:rFonts w:ascii="Times New Roman" w:hAnsi="Times New Roman" w:cs="Times New Roman"/>
          <w:b/>
          <w:i/>
          <w:sz w:val="24"/>
          <w:szCs w:val="24"/>
        </w:rPr>
        <w:t>117 случаев  нарушений</w:t>
      </w:r>
      <w:r>
        <w:rPr>
          <w:rFonts w:ascii="Times New Roman" w:hAnsi="Times New Roman" w:cs="Times New Roman"/>
          <w:sz w:val="24"/>
          <w:szCs w:val="24"/>
        </w:rPr>
        <w:t>, в том числе 63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случая</w:t>
      </w:r>
      <w:r>
        <w:rPr>
          <w:rFonts w:ascii="Times New Roman" w:hAnsi="Times New Roman" w:cs="Times New Roman"/>
          <w:sz w:val="24"/>
          <w:szCs w:val="24"/>
        </w:rPr>
        <w:t xml:space="preserve">, имеющих стоимостную оценку и   </w:t>
      </w:r>
      <w:r>
        <w:rPr>
          <w:rFonts w:ascii="Times New Roman" w:hAnsi="Times New Roman" w:cs="Times New Roman"/>
          <w:i/>
          <w:sz w:val="24"/>
          <w:szCs w:val="24"/>
        </w:rPr>
        <w:t>54 случая</w:t>
      </w:r>
      <w:r>
        <w:rPr>
          <w:rFonts w:ascii="Times New Roman" w:hAnsi="Times New Roman" w:cs="Times New Roman"/>
          <w:sz w:val="24"/>
          <w:szCs w:val="24"/>
        </w:rPr>
        <w:t>, не имеющий стоимостную оценку.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денежном выражении выявленный объём нарушений составил  в сумме </w:t>
      </w:r>
      <w:r>
        <w:rPr>
          <w:rFonts w:ascii="Times New Roman" w:hAnsi="Times New Roman" w:cs="Times New Roman"/>
          <w:b/>
          <w:i/>
          <w:sz w:val="24"/>
          <w:szCs w:val="24"/>
        </w:rPr>
        <w:t>92,8 млн.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390D" w:rsidRDefault="00EF390D" w:rsidP="00EF390D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нарушения при формировании и исполнении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(кроме нецелевого использования бюджетных средств):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нарушений- 25 ед.;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финансовых нарушений -  </w:t>
      </w:r>
      <w:r>
        <w:rPr>
          <w:rFonts w:ascii="Times New Roman" w:hAnsi="Times New Roman" w:cs="Times New Roman"/>
          <w:i/>
          <w:sz w:val="24"/>
          <w:szCs w:val="24"/>
        </w:rPr>
        <w:t>478,2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EF390D" w:rsidRDefault="00EF390D" w:rsidP="00E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>
        <w:rPr>
          <w:rFonts w:ascii="Times New Roman" w:hAnsi="Times New Roman" w:cs="Times New Roman"/>
          <w:i/>
          <w:sz w:val="24"/>
          <w:szCs w:val="24"/>
        </w:rPr>
        <w:t xml:space="preserve"> незаконное расходование средств субсидии, полученной на выполнение муниципального задания  на сумму  87, 8 тыс. рублей;</w:t>
      </w:r>
    </w:p>
    <w:p w:rsidR="00EF390D" w:rsidRDefault="00EF390D" w:rsidP="00EF390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незаконно произведенных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на оплату труда на общую сумму </w:t>
      </w:r>
      <w:r>
        <w:rPr>
          <w:rFonts w:ascii="Times New Roman" w:hAnsi="Times New Roman" w:cs="Times New Roman"/>
          <w:i/>
          <w:sz w:val="24"/>
          <w:szCs w:val="24"/>
        </w:rPr>
        <w:t>389,1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ублей.</w:t>
      </w:r>
    </w:p>
    <w:p w:rsidR="00EF390D" w:rsidRDefault="00EF390D" w:rsidP="00EF39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- незаконное списание бензина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i/>
          <w:sz w:val="24"/>
          <w:szCs w:val="24"/>
        </w:rPr>
        <w:t>1,3 тыс. рублей.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0D" w:rsidRDefault="00EF390D" w:rsidP="00EF390D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390D" w:rsidRDefault="00EF390D" w:rsidP="00EF390D">
      <w:pPr>
        <w:shd w:val="clear" w:color="auto" w:fill="FFFFFF"/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к</w:t>
      </w:r>
      <w:r>
        <w:rPr>
          <w:rFonts w:ascii="Times New Roman" w:hAnsi="Times New Roman" w:cs="Times New Roman"/>
          <w:sz w:val="24"/>
          <w:szCs w:val="24"/>
        </w:rPr>
        <w:t>оличество нарушений</w:t>
      </w:r>
      <w:r>
        <w:rPr>
          <w:rFonts w:ascii="Times New Roman" w:hAnsi="Times New Roman"/>
        </w:rPr>
        <w:t xml:space="preserve"> требований, предъявляемых к  оформлению фактов хозяйственной жизни, а также к  правилам ведения бюджетного (бухгалтерского) учета, которые привели к искажению показателей бюджетной (</w:t>
      </w:r>
      <w:proofErr w:type="gramStart"/>
      <w:r>
        <w:rPr>
          <w:rFonts w:ascii="Times New Roman" w:hAnsi="Times New Roman"/>
        </w:rPr>
        <w:t xml:space="preserve">бухгалтерской) </w:t>
      </w:r>
      <w:proofErr w:type="gramEnd"/>
      <w:r>
        <w:rPr>
          <w:rFonts w:ascii="Times New Roman" w:hAnsi="Times New Roman"/>
        </w:rPr>
        <w:t xml:space="preserve">отчётности </w:t>
      </w:r>
      <w:r>
        <w:rPr>
          <w:rFonts w:ascii="Times New Roman" w:hAnsi="Times New Roman" w:cs="Times New Roman"/>
          <w:sz w:val="24"/>
          <w:szCs w:val="24"/>
        </w:rPr>
        <w:t xml:space="preserve">составило 63 единиц с суммой финансовых нарушений – </w:t>
      </w:r>
      <w:r>
        <w:rPr>
          <w:rFonts w:ascii="Times New Roman" w:hAnsi="Times New Roman" w:cs="Times New Roman"/>
          <w:i/>
          <w:sz w:val="24"/>
          <w:szCs w:val="24"/>
        </w:rPr>
        <w:t>72,0 млн.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Практически, каждым Учреждением и организацией, допускались нарушения требований Федерального закона "О бухгалтерском учете", Инструкции по применению Единого плана счетов бухгалтерского учета, в части оформления фактов хозяйственной жизни организаций первичными учетными документами, учета объектов особо ценного движимого имущества, переданных в оперативное управление и безвозмездное пользование.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причиной допущенных нарушений в проверяемых учреждениях является отсутствие внутреннего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оформлением и составлением первичной учётной документации. 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pStyle w:val="a5"/>
        <w:numPr>
          <w:ilvl w:val="0"/>
          <w:numId w:val="2"/>
        </w:numPr>
        <w:tabs>
          <w:tab w:val="left" w:pos="180"/>
          <w:tab w:val="left" w:pos="709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нарушения при осуществлении государственных (муниципальных) закупок и закупок отдельными видами юридических лиц»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нарушений - 37  ед.;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сумма финансовых нарушений - </w:t>
      </w:r>
      <w:r>
        <w:rPr>
          <w:rFonts w:ascii="Times New Roman" w:hAnsi="Times New Roman" w:cs="Times New Roman"/>
          <w:i/>
          <w:sz w:val="24"/>
          <w:szCs w:val="24"/>
        </w:rPr>
        <w:t>0,0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390D" w:rsidRDefault="00EF390D" w:rsidP="00EF390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нарушение пункта 6 статьи 34 Федерального закона № 44-ФЗ и условий контракта Заказчиком не направлялись требования об уплате неустойки (пени) в связи нарушением срока исполнения обязательства;</w:t>
      </w:r>
    </w:p>
    <w:p w:rsidR="00EF390D" w:rsidRDefault="00EF390D" w:rsidP="00EF390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нарушения пункта 13.1 части 13 статьи 34 Закона № 44-ФЗ в части включения в контракты завышенных сроков оплаты по тридцати договорам, заключенных после 01.05.2022, (срок оплаты составляет 15 календарных дней, вместо 7 рабочих дней)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EF390D" w:rsidRDefault="00EF390D" w:rsidP="00EF390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нарушение статьи 309 Гражданского кодекса РФ, статьи 94 Закона № 44-ФЗ и условий муниципальных контрактов в части не соблюдения сроков оплаты выполненных работ и поставленных  материальных ценностей по  четырём муниципальным  контрактам.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pStyle w:val="a5"/>
        <w:numPr>
          <w:ilvl w:val="0"/>
          <w:numId w:val="3"/>
        </w:numPr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нарушения в сфере управления и распоряжения государственной (муниципальной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собственностью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нарушений -  3 ед.;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сумма финансовых нарушений -</w:t>
      </w:r>
      <w:r>
        <w:rPr>
          <w:rFonts w:ascii="Times New Roman" w:hAnsi="Times New Roman" w:cs="Times New Roman"/>
          <w:i/>
          <w:sz w:val="24"/>
          <w:szCs w:val="24"/>
        </w:rPr>
        <w:t xml:space="preserve"> 2,2 млн.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390D" w:rsidRDefault="00EF390D" w:rsidP="00EF390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результате выборочной инвентаризации установлено отсутствие в наличии 3-х жилых домов, учитываемых в имуществе казны сельского поселения общей балансовой стоимостью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2 215 ,2 тыс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ублей;</w:t>
      </w:r>
    </w:p>
    <w:p w:rsidR="00EF390D" w:rsidRDefault="00EF390D" w:rsidP="00EF39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 нарушение Устава, </w:t>
      </w:r>
      <w:r>
        <w:rPr>
          <w:rFonts w:ascii="Times New Roman" w:hAnsi="Times New Roman" w:cs="Times New Roman"/>
          <w:i/>
          <w:sz w:val="24"/>
          <w:szCs w:val="24"/>
        </w:rPr>
        <w:t>без согласия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 руководством  МУЖКП  заключён договор </w:t>
      </w:r>
      <w:r>
        <w:rPr>
          <w:rFonts w:ascii="Times New Roman" w:hAnsi="Times New Roman" w:cs="Times New Roman"/>
          <w:i/>
          <w:sz w:val="24"/>
          <w:szCs w:val="24"/>
        </w:rPr>
        <w:t>на сдачу в аренду</w:t>
      </w:r>
      <w:r>
        <w:rPr>
          <w:rFonts w:ascii="Times New Roman" w:hAnsi="Times New Roman" w:cs="Times New Roman"/>
          <w:sz w:val="24"/>
          <w:szCs w:val="24"/>
        </w:rPr>
        <w:t xml:space="preserve"> нежилого встроенного помещения  индивидуальному предпринимателю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390D" w:rsidRDefault="00EF390D" w:rsidP="00EF39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неэффективное использование бюджетных средств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количество нарушений-  18  ед.;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сумма финансовых нарушений- </w:t>
      </w:r>
      <w:r>
        <w:rPr>
          <w:rFonts w:ascii="Times New Roman" w:hAnsi="Times New Roman" w:cs="Times New Roman"/>
          <w:i/>
          <w:sz w:val="24"/>
          <w:szCs w:val="24"/>
        </w:rPr>
        <w:t xml:space="preserve"> 23,1 млн. рублей.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6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EF390D" w:rsidRDefault="00EF390D" w:rsidP="00EF390D">
      <w:pPr>
        <w:tabs>
          <w:tab w:val="left" w:pos="0"/>
        </w:tabs>
        <w:spacing w:after="0" w:line="240" w:lineRule="atLeast"/>
        <w:ind w:left="6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По итогам контрольных и экспертно-аналитических мероприятий установлено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неэффективное использование муниципальных 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и имущества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общую сумму </w:t>
      </w:r>
      <w:r>
        <w:rPr>
          <w:rFonts w:ascii="Times New Roman" w:hAnsi="Times New Roman" w:cs="Times New Roman"/>
          <w:i/>
          <w:sz w:val="24"/>
          <w:szCs w:val="24"/>
        </w:rPr>
        <w:t>23,1 млн</w:t>
      </w:r>
      <w:proofErr w:type="gramStart"/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что составляет 23,6 % всех выявленных нарушений, из которых неэкономное использование муниципальных средств составило в сумме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17,6 млн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нерезультативное использование  муниципального имущества в сумме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5,5млн.рублей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:rsidR="00EF390D" w:rsidRDefault="00EF390D" w:rsidP="00EF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Нерезультативное использование муниципального имущества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характеризуется следующими факторами: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Оборудование газовой котельной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>
        <w:rPr>
          <w:rFonts w:ascii="Times New Roman" w:hAnsi="Times New Roman" w:cs="Times New Roman"/>
          <w:i/>
          <w:sz w:val="24"/>
          <w:szCs w:val="24"/>
        </w:rPr>
        <w:t>5,5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установленное в административном здании , на протяжении всего проверяемого периода МУЖКП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используется в связи с отсутствием  необходимости.</w:t>
      </w:r>
    </w:p>
    <w:p w:rsidR="00EF390D" w:rsidRDefault="00EF390D" w:rsidP="00EF390D">
      <w:pPr>
        <w:pStyle w:val="Default"/>
        <w:jc w:val="both"/>
        <w:rPr>
          <w:rFonts w:eastAsia="Times New Roman"/>
          <w:color w:val="1A1A1A"/>
        </w:rPr>
      </w:pPr>
      <w:r>
        <w:t xml:space="preserve">      </w:t>
      </w:r>
      <w:r>
        <w:rPr>
          <w:i/>
        </w:rPr>
        <w:t xml:space="preserve">  </w:t>
      </w:r>
      <w:r>
        <w:t xml:space="preserve"> </w:t>
      </w:r>
      <w:r>
        <w:rPr>
          <w:rFonts w:eastAsia="Times New Roman"/>
          <w:i/>
          <w:color w:val="1A1A1A"/>
        </w:rPr>
        <w:t>Неэкономное использование муниципальных средств</w:t>
      </w:r>
      <w:r>
        <w:rPr>
          <w:rFonts w:eastAsia="Times New Roman"/>
          <w:color w:val="1A1A1A"/>
        </w:rPr>
        <w:t xml:space="preserve"> обусловлено в основном принятием органами администрации муниципального района и руководителями муниципальных Учреждений несвоевременных либо неэффективных управленческих решений, повлекших дополнительные расходы из  бюджета муниципального района и городского поселения на их реализацию в сумме </w:t>
      </w:r>
      <w:r>
        <w:rPr>
          <w:rFonts w:eastAsia="Times New Roman"/>
          <w:i/>
          <w:color w:val="1A1A1A"/>
        </w:rPr>
        <w:t>17,6 млн.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рублей</w:t>
      </w:r>
      <w:r>
        <w:rPr>
          <w:rFonts w:eastAsia="Times New Roman"/>
        </w:rPr>
        <w:t>, из них:</w:t>
      </w:r>
    </w:p>
    <w:p w:rsidR="00EF390D" w:rsidRDefault="00EF390D" w:rsidP="00EF390D">
      <w:pPr>
        <w:pStyle w:val="Default"/>
        <w:jc w:val="both"/>
        <w:rPr>
          <w:i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</w:t>
      </w:r>
      <w:r>
        <w:t xml:space="preserve">- возмещение ущерба за незаконное использование средств областного бюджета по представлению  контрольно-счётной палаты Калужской области в сумме </w:t>
      </w:r>
      <w:r>
        <w:rPr>
          <w:i/>
        </w:rPr>
        <w:t>4 ,8 млн</w:t>
      </w:r>
      <w:proofErr w:type="gramStart"/>
      <w:r>
        <w:rPr>
          <w:i/>
        </w:rPr>
        <w:t>.р</w:t>
      </w:r>
      <w:proofErr w:type="gramEnd"/>
      <w:r>
        <w:rPr>
          <w:i/>
        </w:rPr>
        <w:t xml:space="preserve">ублей;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- в дополнительном отвлечении из бюджетов сельских поселений денежных средств   в сумме </w:t>
      </w:r>
      <w:r>
        <w:rPr>
          <w:rFonts w:ascii="Times New Roman" w:hAnsi="Times New Roman" w:cs="Times New Roman"/>
          <w:i/>
          <w:sz w:val="24"/>
          <w:szCs w:val="24"/>
        </w:rPr>
        <w:t>1,8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оплату бухгалтерских услуг, услуг по сопровождению закупок по договорам гражданско-правового характера, заключённых  со сторонними физическими лицами;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списания просроченной дебиторской задолженности покупателей за оказанные услуги в связи с истечением срока исковой давности - в сумме </w:t>
      </w:r>
      <w:r>
        <w:rPr>
          <w:rFonts w:ascii="Times New Roman" w:hAnsi="Times New Roman" w:cs="Times New Roman"/>
          <w:i/>
          <w:sz w:val="24"/>
          <w:szCs w:val="24"/>
        </w:rPr>
        <w:t>3,4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 ;</w:t>
      </w:r>
    </w:p>
    <w:p w:rsidR="00EF390D" w:rsidRDefault="00EF390D" w:rsidP="00EF390D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уплаченных штрафных санкций в сумме </w:t>
      </w:r>
      <w:r>
        <w:rPr>
          <w:rFonts w:ascii="Times New Roman" w:hAnsi="Times New Roman" w:cs="Times New Roman"/>
          <w:i/>
          <w:sz w:val="24"/>
          <w:szCs w:val="24"/>
        </w:rPr>
        <w:t>7,1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90D" w:rsidRDefault="00EF390D" w:rsidP="00EF390D">
      <w:pPr>
        <w:pStyle w:val="Default"/>
        <w:jc w:val="both"/>
      </w:pPr>
      <w:r>
        <w:t xml:space="preserve">       - использование средств субсидии, полученной на выполнение муниципального задания</w:t>
      </w:r>
      <w:r>
        <w:rPr>
          <w:i/>
        </w:rPr>
        <w:t xml:space="preserve"> </w:t>
      </w:r>
      <w:r>
        <w:t>на сумму</w:t>
      </w:r>
      <w:r>
        <w:rPr>
          <w:i/>
        </w:rPr>
        <w:t xml:space="preserve"> 0,5 млн</w:t>
      </w:r>
      <w:proofErr w:type="gramStart"/>
      <w:r>
        <w:rPr>
          <w:i/>
        </w:rPr>
        <w:t>.р</w:t>
      </w:r>
      <w:proofErr w:type="gramEnd"/>
      <w:r>
        <w:rPr>
          <w:i/>
        </w:rPr>
        <w:t xml:space="preserve">ублей, </w:t>
      </w:r>
      <w:r>
        <w:t xml:space="preserve">на оплату труда водителя, выполнявшего свои должностные обязанности в каждом месяце  года всего от 1 до 6 рабочих дней. </w:t>
      </w:r>
    </w:p>
    <w:p w:rsidR="00EF390D" w:rsidRDefault="00EF390D" w:rsidP="00EF390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     В составе всех установленных финансовых  нарушений наибольшую долю занимают два вида нарушений: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в ведении бухгалтерского учета, составления и представления бухгалтерской (финансовой) отчетности -  77,6%;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неэффективные (безрезультатные) расходы  бюджетных средств и муниципального имущества 19,5%.</w:t>
      </w:r>
    </w:p>
    <w:p w:rsidR="00EF390D" w:rsidRDefault="00EF390D" w:rsidP="00EF39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нарушений, установленных по результатам контрольных мероприятий,  в адрес руководителей учреждений  направлено 10 представлений.  </w:t>
      </w:r>
    </w:p>
    <w:p w:rsidR="00EF390D" w:rsidRDefault="00EF390D" w:rsidP="00EF39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дисциплинарной ответственности по результатам контрольных мероприятий в </w:t>
      </w:r>
      <w:r>
        <w:rPr>
          <w:rFonts w:ascii="Times New Roman" w:hAnsi="Times New Roman" w:cs="Times New Roman"/>
          <w:sz w:val="24"/>
          <w:szCs w:val="24"/>
        </w:rPr>
        <w:lastRenderedPageBreak/>
        <w:t>2023 году привлечено 1 должностное лицо.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Наибольший удельный вес в объёме финансовых нарушений при проверках  установлен в 3 -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Учреждениях ( Администрация СП «Деревня Манино»- </w:t>
      </w:r>
      <w:r>
        <w:rPr>
          <w:rFonts w:ascii="Times New Roman" w:hAnsi="Times New Roman" w:cs="Times New Roman"/>
          <w:i/>
          <w:sz w:val="24"/>
          <w:szCs w:val="24"/>
        </w:rPr>
        <w:t>22,3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или 24,1% ,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Людиновотеплосеть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i/>
          <w:sz w:val="24"/>
          <w:szCs w:val="24"/>
        </w:rPr>
        <w:t>22,3 млн.рублей</w:t>
      </w:r>
      <w:r>
        <w:rPr>
          <w:rFonts w:ascii="Times New Roman" w:hAnsi="Times New Roman" w:cs="Times New Roman"/>
          <w:sz w:val="24"/>
          <w:szCs w:val="24"/>
        </w:rPr>
        <w:t xml:space="preserve"> , или 24,0% и администрации СП «Село Букань»- </w:t>
      </w:r>
      <w:r>
        <w:rPr>
          <w:rFonts w:ascii="Times New Roman" w:hAnsi="Times New Roman" w:cs="Times New Roman"/>
          <w:i/>
          <w:sz w:val="24"/>
          <w:szCs w:val="24"/>
        </w:rPr>
        <w:t>18,2 млн.рублей</w:t>
      </w:r>
      <w:r>
        <w:rPr>
          <w:rFonts w:ascii="Times New Roman" w:hAnsi="Times New Roman" w:cs="Times New Roman"/>
          <w:sz w:val="24"/>
          <w:szCs w:val="24"/>
        </w:rPr>
        <w:t>, или 19,6% от всего объёма нарушений установленных при проверках в 2023 году.)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2022 году объём установленных финансовых нарушений увеличился на </w:t>
      </w:r>
      <w:r>
        <w:rPr>
          <w:rFonts w:ascii="Times New Roman" w:hAnsi="Times New Roman" w:cs="Times New Roman"/>
          <w:i/>
          <w:sz w:val="24"/>
          <w:szCs w:val="24"/>
        </w:rPr>
        <w:t>14,0 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или 16,6%.</w:t>
      </w:r>
    </w:p>
    <w:p w:rsidR="00EF390D" w:rsidRDefault="00EF390D" w:rsidP="00EF390D">
      <w:pPr>
        <w:tabs>
          <w:tab w:val="left" w:pos="180"/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увеличение финансовых нарушений произошло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группе нарушений  в области ведения бухгалтерского учёта, составления и представления бухгалтерской отчётности. В суммовом выражении увеличение составило </w:t>
      </w:r>
      <w:r>
        <w:rPr>
          <w:rFonts w:ascii="Times New Roman" w:hAnsi="Times New Roman" w:cs="Times New Roman"/>
          <w:i/>
          <w:sz w:val="24"/>
          <w:szCs w:val="24"/>
        </w:rPr>
        <w:t>12,4 млн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итогам рассмотрения направленных контрольно-счётной палатой представлений муниципальными учреждениями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устранено финансовых нарушений на сумму </w:t>
      </w:r>
      <w:r>
        <w:rPr>
          <w:rFonts w:ascii="Times New Roman" w:hAnsi="Times New Roman" w:cs="Times New Roman"/>
          <w:i/>
          <w:sz w:val="24"/>
          <w:szCs w:val="24"/>
        </w:rPr>
        <w:t>58,0 млн. рублей</w:t>
      </w:r>
      <w:r>
        <w:rPr>
          <w:rFonts w:ascii="Times New Roman" w:hAnsi="Times New Roman" w:cs="Times New Roman"/>
          <w:sz w:val="24"/>
          <w:szCs w:val="24"/>
        </w:rPr>
        <w:t>, что составляет 59,3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общего объема всех выявленных нарушений, в том числе возмещено в доход бюджета -</w:t>
      </w:r>
      <w:r>
        <w:rPr>
          <w:rFonts w:ascii="Times New Roman" w:hAnsi="Times New Roman" w:cs="Times New Roman"/>
          <w:i/>
          <w:sz w:val="24"/>
          <w:szCs w:val="24"/>
        </w:rPr>
        <w:t>100,0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 xml:space="preserve">и устранено нарушений в ведении бюджетного учёта и составлении отчётности на сумму </w:t>
      </w:r>
      <w:r>
        <w:rPr>
          <w:rFonts w:ascii="Times New Roman" w:hAnsi="Times New Roman" w:cs="Times New Roman"/>
          <w:i/>
          <w:sz w:val="24"/>
          <w:szCs w:val="24"/>
        </w:rPr>
        <w:t>57,9 млн.рублей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Администрацией муниципального района, сельских поселений, учреждениями  принимались меры по устранению нарушений и недостатков, указанных в представлениях контрольно-счетной палаты муниципального района.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отчетном периоде учреждениями приняты следующие меры по устранению и недопущению в дальнейшем нарушений и недостатков: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бухгалтерской отчетности отражены земельные участки по актуальной кадастровой стоимости,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внесены изменения в Положения об оплате труда работников,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выплаты надбавок, премий и материальной помощи работникам приведены в соответствие с Положением об оплате труда работников учреждений,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усилен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 заключения контрактов (договоров),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учтены рекомендации по проведению инвентаризации финансовых обязательств учреждения,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усилен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изменением существенных условий муниципальных контрактов в рамках Федерального закона № 44-ФЗ,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усилен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 оформления контрактов (договоров) и актов,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усилен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формированием бухгалтерской отчетности. </w:t>
      </w:r>
    </w:p>
    <w:p w:rsidR="00EF390D" w:rsidRDefault="00EF390D" w:rsidP="00EF3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Экспертно-аналитические мероприятия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Контрольно-счетной палатой проведение экспертно-аналитических мероприятий осуществлялись в форме предварительного, текущего и последующего контроля.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Предварительный контроль осуществлялся контрольно-счетной палатой при проведении Экспертизы проекта бюджета города Людиново,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бюджета 5-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 на 2024 год и на плановый 2025-2026 годов в целях определения достоверности и обоснованности показателей формирования проектов  бюджета.</w:t>
      </w:r>
      <w:proofErr w:type="gramEnd"/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Текущий контроль осуществлялся контрольно-счетной палатой при проведении экспертизы отчетов об исполнении бюджета по итогам 1 квартала, полугодия и 9-ти месяцев.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Последующий контроль осуществлялся контрольно-счетной палатой при проведении экспертизы годового отчета об исполнении бюджета с целью оценки достоверности и выявления нарушений и недостатков, а также их возможных последствий.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Проведение предварительного, текущего и последующего контроля обеспечивает непрерывность контроля на всех стадиях бюджетного процесса – формирования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городского, районного бюджета, бюджета сельских поселений, а также позволяет исследовать причины и последствия нарушений и недостатков. </w:t>
      </w:r>
    </w:p>
    <w:p w:rsidR="00EF390D" w:rsidRDefault="00EF390D" w:rsidP="00EF390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отчётный период проведено 68 экспертно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мероприятия, на которые предоставлено 68 экспертных заключения,  в том числе:</w:t>
      </w:r>
    </w:p>
    <w:p w:rsidR="00EF390D" w:rsidRDefault="00EF390D" w:rsidP="00EF390D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экспертных заключений  на отчет об исполнении бюджета муниципального района, бюджета городского поселения и бюджетов пяти сельских поселений за 2022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F390D" w:rsidRDefault="00EF390D" w:rsidP="00EF390D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экспертных заключения о ходе исполнения бюджета муниципального района и бюджетов поселений за 1 квартал,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и 9 месяцев 2023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F390D" w:rsidRDefault="00EF390D" w:rsidP="00EF390D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экспертных заключений на проекты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решений Городской Думы городского поселения и решений Сельских Дум сельских поселений, затрагивающих вопросы финансов и бюджета;</w:t>
      </w:r>
    </w:p>
    <w:p w:rsidR="00EF390D" w:rsidRDefault="00EF390D" w:rsidP="00EF390D">
      <w:pPr>
        <w:pStyle w:val="a5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экспертных заключений на проект постановления администрации муниципального района о внесении изменений в муниципальную программу.</w:t>
      </w:r>
    </w:p>
    <w:p w:rsidR="00EF390D" w:rsidRDefault="00EF390D" w:rsidP="00EF39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проведения экспертно- аналитических мероприятий  выявлены типичные нарушения, в частности:</w:t>
      </w:r>
    </w:p>
    <w:p w:rsidR="00EF390D" w:rsidRDefault="00EF390D" w:rsidP="00EF390D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из 30 муниципальных программ одна треть прог</w:t>
      </w:r>
      <w:r>
        <w:rPr>
          <w:rFonts w:ascii="Times New Roman" w:eastAsia="Calibri" w:hAnsi="Times New Roman" w:cs="Times New Roman"/>
          <w:sz w:val="24"/>
          <w:szCs w:val="24"/>
        </w:rPr>
        <w:t>рамм (а также изменения к ним) были утверждены без финансово-экономической экспертизы контрольно-счётной палаты;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изменения в объемы финансирования муниципальной программы вносятся без изменения индикаторов;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отсутствуют обоснования изменений в объемы финансовых ресурсов на реализацию муниципальной программы; 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нарушение статьи 179 БК РФ объёмы финансирования отдельных муниципальных программ муниципального района и городского поселения своевременно не приведены в соответствие с кассовым исполнением соответственно бюджета муниципального района и городского поселения за отчетный финансовый год;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экспертно-аналитических мероприятий даны заключения, которые с учетом замечаний и предложений направлены главе муниципального района, главе администрации муниципального района, главе городского поселения, главам администраций и главам сельских поселений.</w:t>
      </w:r>
    </w:p>
    <w:p w:rsidR="00EF390D" w:rsidRDefault="00EF390D" w:rsidP="00EF390D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Внешняя проверка отчета об исполнении бюджета муниципального района, городского поселения за 2022 год включила в себя проверку годовой бюджетной отчетности 7 главных распорядителей бюджетных средств, предусмотренных ведомственной структурой бюджета муниципального района и городского поселения.</w:t>
      </w: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Информационное обеспечение деятельности контрольно-счетной палаты </w:t>
      </w: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№ 6-ФЗ и статьей 20 Положения о контрольно-счетной палате в целях обеспечения доступа к информации о деятельности контрольно-счетной палаты на сайте администрации муниципального района размещено   81 информационное сообщение о проведенных контрольных и экспертно-аналитических мероприятиях и выявленных нарушениях.</w:t>
      </w: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всех проведенных контрольных  и экспертно-аналитических мероприятий своевременно направлялась главе администрации муниципального района, главе муниципального района, главе городского поселения, главам сельских поселений и главам администраций сельских поселений.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 исполнение Федерального закона от 25.12.2008 № 273-ФЗ «О противодействии коррупции» сведения о доходах, имуществе и обязательствах имущественного характера сотрудников контрольно-счетной палаты, их супругов и несовершеннолетних детей за 2022 год в установленном порядке предоставлены в Администрацию Губернатора Калужской области.</w:t>
      </w:r>
    </w:p>
    <w:p w:rsidR="00EF390D" w:rsidRDefault="00EF390D" w:rsidP="00EF39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контрольно-счетной палаты за 2023 год утвержден приказом от  25.01.2024 № 1-А.</w:t>
      </w:r>
    </w:p>
    <w:p w:rsidR="00EF390D" w:rsidRDefault="00EF390D" w:rsidP="00EF39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палаты в 2024 будет направлена на безусловное выполнение утвержденного плана контрольных и экспертно-аналитических мероприятий, а также на повышение эффективности внешнего финансового контроля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функций аудита эффективности использования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ресурсов, как одного из приоритетных направлений контрольной и экспертно-аналитической работы.</w:t>
      </w:r>
    </w:p>
    <w:p w:rsidR="00EF390D" w:rsidRDefault="00EF390D" w:rsidP="00EF390D">
      <w:pPr>
        <w:tabs>
          <w:tab w:val="left" w:pos="1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результативности деятельности контрольно-счетной палаты является обеспечение постоянного контроля в рамках законодательства за устранением нарушений, отраженных в представлениях, а также за реализацией предложений и рекомендаций, данных в информационных письмах, направленных по результатам контрольной и экспертно-аналитической деятельности.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 работы на 2024 год сформирован в соответствии с полномочиями контрольно-счетной палаты определенными законодательными нормативными актами, утвержден приказом от 25.12.2023 № 8-А и размещен на официальном сайте администрации муниципального района.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2024 году планируется продолжить работу по реализации своих полномочий в сфере: 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осуществления предварительного, текущего и последующего контроля исполнения бюджета муниципального района;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городского и сельских поселений; 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финансово-экономической экспертизы муниципальных программ;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внешней проверки годового отчета об исполнении бюджета муниципального района, городского и сельских поселений; 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осуществления анализа муниципальных программ, включая оценку сбалансированности их целей, задач, индикаторов, мероприятий и финансовых ресурсов;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исполнения статьи 98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F390D" w:rsidRDefault="00EF390D" w:rsidP="00EF39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4AF8" w:rsidRPr="005846F3" w:rsidRDefault="00704AF8" w:rsidP="00704A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6F3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20 Положения о контрольно-счетной палате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46F3">
        <w:rPr>
          <w:rFonts w:ascii="Times New Roman" w:hAnsi="Times New Roman" w:cs="Times New Roman"/>
          <w:sz w:val="24"/>
          <w:szCs w:val="24"/>
        </w:rPr>
        <w:t xml:space="preserve"> отчет о деятельности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Pr="005846F3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 xml:space="preserve"> 22 апреля 2024 года на заседании </w:t>
      </w:r>
      <w:proofErr w:type="spellStart"/>
      <w:r w:rsidRPr="005846F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F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5846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обрания.</w:t>
      </w:r>
      <w:r w:rsidRPr="0058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F8" w:rsidRPr="005846F3" w:rsidRDefault="00704AF8" w:rsidP="00704A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>
      <w:pPr>
        <w:spacing w:after="0" w:line="240" w:lineRule="atLeast"/>
      </w:pPr>
    </w:p>
    <w:p w:rsidR="00EF390D" w:rsidRDefault="00EF390D" w:rsidP="00EF390D"/>
    <w:p w:rsidR="00EF390D" w:rsidRDefault="00EF390D" w:rsidP="00EF390D"/>
    <w:p w:rsidR="000F7877" w:rsidRDefault="000F7877"/>
    <w:sectPr w:rsidR="000F7877" w:rsidSect="0043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7E5C"/>
    <w:multiLevelType w:val="hybridMultilevel"/>
    <w:tmpl w:val="C910F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D1ADE"/>
    <w:multiLevelType w:val="hybridMultilevel"/>
    <w:tmpl w:val="DB9EBB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863EA6"/>
    <w:multiLevelType w:val="hybridMultilevel"/>
    <w:tmpl w:val="4A1472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E6E91"/>
    <w:multiLevelType w:val="hybridMultilevel"/>
    <w:tmpl w:val="82464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90D"/>
    <w:rsid w:val="000F7877"/>
    <w:rsid w:val="0043454F"/>
    <w:rsid w:val="00704AF8"/>
    <w:rsid w:val="00E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390D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EF39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390D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EF3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3791</Words>
  <Characters>21613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2024-04-22T11:07:00Z</dcterms:created>
  <dcterms:modified xsi:type="dcterms:W3CDTF">2024-04-24T11:25:00Z</dcterms:modified>
</cp:coreProperties>
</file>